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71E" w:rsidRPr="00357D93" w:rsidRDefault="00484C91" w:rsidP="00DE40B0">
      <w:pPr>
        <w:pBdr>
          <w:bottom w:val="single" w:sz="6" w:space="1" w:color="auto"/>
        </w:pBdr>
        <w:spacing w:after="360" w:line="240" w:lineRule="auto"/>
        <w:jc w:val="both"/>
        <w:rPr>
          <w:rFonts w:ascii="Times New Roman" w:hAnsi="Times New Roman" w:cs="Times New Roman"/>
          <w:b/>
          <w:sz w:val="26"/>
          <w:szCs w:val="26"/>
        </w:rPr>
      </w:pPr>
      <w:bookmarkStart w:id="0" w:name="_GoBack"/>
      <w:bookmarkEnd w:id="0"/>
      <w:r w:rsidRPr="00357D93">
        <w:rPr>
          <w:rFonts w:ascii="Times New Roman" w:hAnsi="Times New Roman" w:cs="Times New Roman"/>
          <w:b/>
          <w:sz w:val="26"/>
          <w:szCs w:val="26"/>
        </w:rPr>
        <w:t xml:space="preserve">PHỤ LỤC 01: </w:t>
      </w:r>
      <w:r w:rsidR="008137DC" w:rsidRPr="00357D93">
        <w:rPr>
          <w:rFonts w:ascii="Times New Roman" w:hAnsi="Times New Roman" w:cs="Times New Roman"/>
          <w:b/>
          <w:sz w:val="26"/>
          <w:szCs w:val="26"/>
        </w:rPr>
        <w:t xml:space="preserve">QUY TẮC BẢO HIỂM CHO CHỦ THẺ </w:t>
      </w:r>
      <w:r w:rsidR="00AA3FA0" w:rsidRPr="00357D93">
        <w:rPr>
          <w:rFonts w:ascii="Times New Roman" w:hAnsi="Times New Roman" w:cs="Times New Roman"/>
          <w:b/>
          <w:sz w:val="26"/>
          <w:szCs w:val="26"/>
        </w:rPr>
        <w:t xml:space="preserve">BIDV </w:t>
      </w:r>
      <w:r w:rsidR="008137DC" w:rsidRPr="00357D93">
        <w:rPr>
          <w:rFonts w:ascii="Times New Roman" w:hAnsi="Times New Roman" w:cs="Times New Roman"/>
          <w:b/>
          <w:sz w:val="26"/>
          <w:szCs w:val="26"/>
        </w:rPr>
        <w:t>VISA INFINITE</w:t>
      </w:r>
    </w:p>
    <w:tbl>
      <w:tblPr>
        <w:tblStyle w:val="TableGrid"/>
        <w:tblW w:w="9191" w:type="dxa"/>
        <w:tblInd w:w="-35" w:type="dxa"/>
        <w:tblCellMar>
          <w:left w:w="57" w:type="dxa"/>
          <w:right w:w="57" w:type="dxa"/>
        </w:tblCellMar>
        <w:tblLook w:val="04A0" w:firstRow="1" w:lastRow="0" w:firstColumn="1" w:lastColumn="0" w:noHBand="0" w:noVBand="1"/>
      </w:tblPr>
      <w:tblGrid>
        <w:gridCol w:w="1899"/>
        <w:gridCol w:w="7292"/>
      </w:tblGrid>
      <w:tr w:rsidR="00A451D0" w:rsidRPr="00357D93" w:rsidTr="00A451D0">
        <w:tc>
          <w:tcPr>
            <w:tcW w:w="9191" w:type="dxa"/>
            <w:gridSpan w:val="2"/>
          </w:tcPr>
          <w:p w:rsidR="00A451D0" w:rsidRPr="00357D93" w:rsidRDefault="00A451D0" w:rsidP="00A451D0">
            <w:pPr>
              <w:tabs>
                <w:tab w:val="left" w:pos="5790"/>
              </w:tabs>
              <w:spacing w:before="20" w:after="20" w:line="276" w:lineRule="auto"/>
              <w:rPr>
                <w:rFonts w:ascii="Times New Roman" w:hAnsi="Times New Roman" w:cs="Times New Roman"/>
                <w:b/>
                <w:sz w:val="26"/>
                <w:szCs w:val="26"/>
              </w:rPr>
            </w:pPr>
            <w:r w:rsidRPr="00357D93">
              <w:rPr>
                <w:rFonts w:ascii="Times New Roman" w:hAnsi="Times New Roman" w:cs="Times New Roman"/>
                <w:b/>
                <w:sz w:val="26"/>
                <w:szCs w:val="26"/>
              </w:rPr>
              <w:t>Quyền lợi bảo hiểm và Số tiền bảo hiểm</w:t>
            </w:r>
            <w:r w:rsidRPr="00357D93">
              <w:rPr>
                <w:rFonts w:ascii="Times New Roman" w:hAnsi="Times New Roman" w:cs="Times New Roman"/>
                <w:b/>
                <w:sz w:val="26"/>
                <w:szCs w:val="26"/>
              </w:rPr>
              <w:tab/>
            </w:r>
          </w:p>
        </w:tc>
      </w:tr>
      <w:tr w:rsidR="00A451D0" w:rsidRPr="00357D93" w:rsidTr="00A451D0">
        <w:tc>
          <w:tcPr>
            <w:tcW w:w="9191" w:type="dxa"/>
            <w:gridSpan w:val="2"/>
          </w:tcPr>
          <w:tbl>
            <w:tblPr>
              <w:tblpPr w:leftFromText="180" w:rightFromText="180" w:vertAnchor="text" w:horzAnchor="margin" w:tblpY="78"/>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4"/>
              <w:gridCol w:w="3397"/>
              <w:gridCol w:w="1559"/>
              <w:gridCol w:w="1843"/>
              <w:gridCol w:w="1984"/>
            </w:tblGrid>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b/>
                      <w:iCs/>
                      <w:sz w:val="26"/>
                      <w:szCs w:val="26"/>
                      <w:lang w:val="pl-PL"/>
                    </w:rPr>
                  </w:pPr>
                  <w:r w:rsidRPr="00357D93">
                    <w:rPr>
                      <w:rFonts w:ascii="Times New Roman" w:hAnsi="Times New Roman" w:cs="Times New Roman"/>
                      <w:b/>
                      <w:iCs/>
                      <w:sz w:val="26"/>
                      <w:szCs w:val="26"/>
                      <w:lang w:val="pl-PL"/>
                    </w:rPr>
                    <w:t>Quyền lợi bảo hiểm</w:t>
                  </w:r>
                </w:p>
              </w:tc>
              <w:tc>
                <w:tcPr>
                  <w:tcW w:w="1559" w:type="dxa"/>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b/>
                      <w:iCs/>
                      <w:sz w:val="26"/>
                      <w:szCs w:val="26"/>
                      <w:lang w:val="pl-PL"/>
                    </w:rPr>
                  </w:pPr>
                  <w:r w:rsidRPr="00357D93">
                    <w:rPr>
                      <w:rFonts w:ascii="Times New Roman" w:hAnsi="Times New Roman" w:cs="Times New Roman"/>
                      <w:b/>
                      <w:iCs/>
                      <w:sz w:val="26"/>
                      <w:szCs w:val="26"/>
                      <w:lang w:val="pl-PL"/>
                    </w:rPr>
                    <w:t>Người được bảo hiểm</w:t>
                  </w:r>
                </w:p>
              </w:tc>
              <w:tc>
                <w:tcPr>
                  <w:tcW w:w="1843"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b/>
                      <w:iCs/>
                      <w:sz w:val="26"/>
                      <w:szCs w:val="26"/>
                      <w:lang w:val="pl-PL"/>
                    </w:rPr>
                  </w:pPr>
                  <w:r w:rsidRPr="00357D93">
                    <w:rPr>
                      <w:rFonts w:ascii="Times New Roman" w:hAnsi="Times New Roman" w:cs="Times New Roman"/>
                      <w:b/>
                      <w:iCs/>
                      <w:sz w:val="26"/>
                      <w:szCs w:val="26"/>
                      <w:lang w:val="pl-PL"/>
                    </w:rPr>
                    <w:t>Số tiền bảo hiểm/</w:t>
                  </w:r>
                  <w:r w:rsidRPr="00357D93">
                    <w:rPr>
                      <w:rFonts w:ascii="Times New Roman" w:hAnsi="Times New Roman" w:cs="Times New Roman"/>
                      <w:iCs/>
                      <w:sz w:val="26"/>
                      <w:szCs w:val="26"/>
                      <w:lang w:val="pl-PL"/>
                    </w:rPr>
                    <w:t xml:space="preserve"> </w:t>
                  </w:r>
                  <w:r w:rsidRPr="00357D93">
                    <w:rPr>
                      <w:rFonts w:ascii="Times New Roman" w:hAnsi="Times New Roman" w:cs="Times New Roman"/>
                      <w:b/>
                      <w:iCs/>
                      <w:sz w:val="26"/>
                      <w:szCs w:val="26"/>
                      <w:lang w:val="pl-PL"/>
                    </w:rPr>
                    <w:t>chủ thẻ (USD)</w:t>
                  </w:r>
                </w:p>
              </w:tc>
              <w:tc>
                <w:tcPr>
                  <w:tcW w:w="1984" w:type="dxa"/>
                  <w:tcBorders>
                    <w:top w:val="single" w:sz="4" w:space="0" w:color="auto"/>
                    <w:left w:val="single" w:sz="4" w:space="0" w:color="auto"/>
                    <w:bottom w:val="single" w:sz="4" w:space="0" w:color="auto"/>
                    <w:right w:val="single" w:sz="4" w:space="0" w:color="auto"/>
                  </w:tcBorders>
                </w:tcPr>
                <w:p w:rsidR="00A451D0" w:rsidRPr="00357D93" w:rsidRDefault="00A451D0" w:rsidP="00A451D0">
                  <w:pPr>
                    <w:spacing w:before="20" w:after="20" w:line="240" w:lineRule="auto"/>
                    <w:rPr>
                      <w:rFonts w:ascii="Times New Roman" w:hAnsi="Times New Roman" w:cs="Times New Roman"/>
                      <w:b/>
                      <w:iCs/>
                      <w:sz w:val="26"/>
                      <w:szCs w:val="26"/>
                      <w:lang w:val="pl-PL"/>
                    </w:rPr>
                  </w:pPr>
                  <w:r w:rsidRPr="00357D93">
                    <w:rPr>
                      <w:rFonts w:ascii="Times New Roman" w:hAnsi="Times New Roman" w:cs="Times New Roman"/>
                      <w:b/>
                      <w:iCs/>
                      <w:sz w:val="26"/>
                      <w:szCs w:val="26"/>
                      <w:lang w:val="pl-PL"/>
                    </w:rPr>
                    <w:t>Mức khấu trừ (*) của Chủ thẻ theo từng trường hợp (USD/lần)</w:t>
                  </w:r>
                </w:p>
              </w:tc>
            </w:tr>
            <w:tr w:rsidR="00A451D0" w:rsidRPr="00357D93" w:rsidTr="00A451D0">
              <w:trPr>
                <w:trHeight w:val="20"/>
              </w:trPr>
              <w:tc>
                <w:tcPr>
                  <w:tcW w:w="3681" w:type="dxa"/>
                  <w:gridSpan w:val="2"/>
                  <w:tcBorders>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Tai nạn cá nhân</w:t>
                  </w:r>
                </w:p>
              </w:tc>
              <w:tc>
                <w:tcPr>
                  <w:tcW w:w="1559" w:type="dxa"/>
                  <w:vMerge w:val="restart"/>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Chủ thẻ và Gia đình. Đối tượng Gia đình chỉ áp dụng khi đi cùng Chủ thẻ trong Chuyến đi</w:t>
                  </w: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c>
                <w:tcPr>
                  <w:tcW w:w="1984" w:type="dxa"/>
                  <w:vMerge w:val="restart"/>
                  <w:tcBorders>
                    <w:top w:val="single" w:sz="4" w:space="0" w:color="auto"/>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Không áp dụng</w:t>
                  </w:r>
                </w:p>
              </w:tc>
            </w:tr>
            <w:tr w:rsidR="00A451D0" w:rsidRPr="00357D93" w:rsidTr="00A451D0">
              <w:trPr>
                <w:trHeight w:val="297"/>
              </w:trPr>
              <w:tc>
                <w:tcPr>
                  <w:tcW w:w="284" w:type="dxa"/>
                  <w:tcBorders>
                    <w:left w:val="single" w:sz="4" w:space="0" w:color="auto"/>
                    <w:right w:val="nil"/>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w:t>
                  </w:r>
                </w:p>
              </w:tc>
              <w:tc>
                <w:tcPr>
                  <w:tcW w:w="3397" w:type="dxa"/>
                  <w:tcBorders>
                    <w:top w:val="single" w:sz="4" w:space="0" w:color="auto"/>
                    <w:left w:val="nil"/>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Chủ thẻ và Vợ/Chồng dưới 65 tuổi</w:t>
                  </w:r>
                </w:p>
              </w:tc>
              <w:tc>
                <w:tcPr>
                  <w:tcW w:w="1559"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1.000.000 USD</w:t>
                  </w:r>
                </w:p>
              </w:tc>
              <w:tc>
                <w:tcPr>
                  <w:tcW w:w="1984"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r>
            <w:tr w:rsidR="00A451D0" w:rsidRPr="00357D93" w:rsidTr="00A451D0">
              <w:trPr>
                <w:trHeight w:val="70"/>
              </w:trPr>
              <w:tc>
                <w:tcPr>
                  <w:tcW w:w="284" w:type="dxa"/>
                  <w:tcBorders>
                    <w:left w:val="single" w:sz="4" w:space="0" w:color="auto"/>
                    <w:right w:val="nil"/>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w:t>
                  </w:r>
                </w:p>
              </w:tc>
              <w:tc>
                <w:tcPr>
                  <w:tcW w:w="3397" w:type="dxa"/>
                  <w:tcBorders>
                    <w:top w:val="single" w:sz="4" w:space="0" w:color="auto"/>
                    <w:left w:val="nil"/>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Chủ thẻ và Vợ/Chồng từ 65 đến 80 tuổi</w:t>
                  </w:r>
                </w:p>
              </w:tc>
              <w:tc>
                <w:tcPr>
                  <w:tcW w:w="1559"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500.000 USD</w:t>
                  </w:r>
                </w:p>
              </w:tc>
              <w:tc>
                <w:tcPr>
                  <w:tcW w:w="1984"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r>
            <w:tr w:rsidR="00A451D0" w:rsidRPr="00357D93" w:rsidTr="00A451D0">
              <w:trPr>
                <w:trHeight w:val="20"/>
              </w:trPr>
              <w:tc>
                <w:tcPr>
                  <w:tcW w:w="284" w:type="dxa"/>
                  <w:tcBorders>
                    <w:left w:val="single" w:sz="4" w:space="0" w:color="auto"/>
                    <w:right w:val="nil"/>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w:t>
                  </w:r>
                </w:p>
              </w:tc>
              <w:tc>
                <w:tcPr>
                  <w:tcW w:w="3397" w:type="dxa"/>
                  <w:tcBorders>
                    <w:top w:val="single" w:sz="4" w:space="0" w:color="auto"/>
                    <w:left w:val="nil"/>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Con phụ thuộc dưới 24 tuổi của Chủ thẻ</w:t>
                  </w:r>
                </w:p>
              </w:tc>
              <w:tc>
                <w:tcPr>
                  <w:tcW w:w="1559"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50.000 USD</w:t>
                  </w:r>
                </w:p>
              </w:tc>
              <w:tc>
                <w:tcPr>
                  <w:tcW w:w="1984" w:type="dxa"/>
                  <w:vMerge/>
                  <w:tcBorders>
                    <w:left w:val="single" w:sz="4" w:space="0" w:color="auto"/>
                    <w:right w:val="single" w:sz="4" w:space="0" w:color="auto"/>
                  </w:tcBorders>
                  <w:vAlign w:val="center"/>
                </w:tcPr>
                <w:p w:rsidR="00A451D0" w:rsidRPr="00357D93" w:rsidRDefault="00A451D0" w:rsidP="00A451D0">
                  <w:pPr>
                    <w:spacing w:before="20" w:after="20" w:line="240" w:lineRule="auto"/>
                    <w:rPr>
                      <w:rFonts w:ascii="Times New Roman" w:hAnsi="Times New Roman" w:cs="Times New Roman"/>
                      <w:iCs/>
                      <w:sz w:val="26"/>
                      <w:szCs w:val="26"/>
                      <w:lang w:val="pl-PL"/>
                    </w:rPr>
                  </w:pP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 xml:space="preserve">Chi phí y tế </w:t>
                  </w:r>
                </w:p>
              </w:tc>
              <w:tc>
                <w:tcPr>
                  <w:tcW w:w="1559" w:type="dxa"/>
                  <w:vMerge w:val="restart"/>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Chủ thẻ</w:t>
                  </w: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25.000 USD</w:t>
                  </w:r>
                </w:p>
              </w:tc>
              <w:tc>
                <w:tcPr>
                  <w:tcW w:w="1984" w:type="dxa"/>
                  <w:vMerge w:val="restart"/>
                  <w:tcBorders>
                    <w:top w:val="single" w:sz="4" w:space="0" w:color="auto"/>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1.000 USD</w:t>
                  </w: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Dịch vụ hồi hương (hồi hương thi hài trong trường hợp người được bảo hiểm tử vong khi đi du lịch nước ngoài – bao gồm trong chi phí y tế)</w:t>
                  </w:r>
                </w:p>
              </w:tc>
              <w:tc>
                <w:tcPr>
                  <w:tcW w:w="1559"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25.000 USD</w:t>
                  </w:r>
                </w:p>
              </w:tc>
              <w:tc>
                <w:tcPr>
                  <w:tcW w:w="1984"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Hành lý và tư trang</w:t>
                  </w:r>
                </w:p>
              </w:tc>
              <w:tc>
                <w:tcPr>
                  <w:tcW w:w="1559"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Lên tới 1.000 USD</w:t>
                  </w:r>
                </w:p>
              </w:tc>
              <w:tc>
                <w:tcPr>
                  <w:tcW w:w="1984" w:type="dxa"/>
                  <w:tcBorders>
                    <w:top w:val="single" w:sz="4" w:space="0" w:color="auto"/>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50 USD/1 vụ</w:t>
                  </w: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Chuyến đi bị trì hoãn</w:t>
                  </w:r>
                </w:p>
              </w:tc>
              <w:tc>
                <w:tcPr>
                  <w:tcW w:w="1559"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125 USD mỗi 8 tiếng, giới hạn tổng là 250 USD</w:t>
                  </w:r>
                </w:p>
              </w:tc>
              <w:tc>
                <w:tcPr>
                  <w:tcW w:w="1984"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Không áp dụng</w:t>
                  </w: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Hành lý cá nhân bị trì hoãn</w:t>
                  </w:r>
                </w:p>
              </w:tc>
              <w:tc>
                <w:tcPr>
                  <w:tcW w:w="1559"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20 USD/giờ (tối đa 12 (mười hai) giờ)</w:t>
                  </w:r>
                </w:p>
              </w:tc>
              <w:tc>
                <w:tcPr>
                  <w:tcW w:w="1984"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04 (bốn) giờ đầu tiên</w:t>
                  </w:r>
                </w:p>
              </w:tc>
            </w:tr>
            <w:tr w:rsidR="00A451D0" w:rsidRPr="00357D93" w:rsidTr="00A451D0">
              <w:trPr>
                <w:trHeight w:val="20"/>
              </w:trPr>
              <w:tc>
                <w:tcPr>
                  <w:tcW w:w="3681" w:type="dxa"/>
                  <w:gridSpan w:val="2"/>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Bảo hiểm trách nhiệm cá nhân</w:t>
                  </w:r>
                </w:p>
              </w:tc>
              <w:tc>
                <w:tcPr>
                  <w:tcW w:w="1559" w:type="dxa"/>
                  <w:vMerge/>
                  <w:tcBorders>
                    <w:left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p>
              </w:tc>
              <w:tc>
                <w:tcPr>
                  <w:tcW w:w="1843"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10.000 USD</w:t>
                  </w:r>
                </w:p>
              </w:tc>
              <w:tc>
                <w:tcPr>
                  <w:tcW w:w="1984" w:type="dxa"/>
                  <w:tcBorders>
                    <w:top w:val="single" w:sz="4" w:space="0" w:color="auto"/>
                    <w:left w:val="single" w:sz="4" w:space="0" w:color="auto"/>
                    <w:bottom w:val="single" w:sz="4" w:space="0" w:color="auto"/>
                    <w:right w:val="single" w:sz="4" w:space="0" w:color="auto"/>
                  </w:tcBorders>
                  <w:vAlign w:val="center"/>
                </w:tcPr>
                <w:p w:rsidR="00A451D0" w:rsidRPr="00357D93" w:rsidRDefault="00A451D0" w:rsidP="00A451D0">
                  <w:pPr>
                    <w:widowControl w:val="0"/>
                    <w:spacing w:before="20" w:after="20" w:line="240" w:lineRule="auto"/>
                    <w:rPr>
                      <w:rFonts w:ascii="Times New Roman" w:hAnsi="Times New Roman" w:cs="Times New Roman"/>
                      <w:iCs/>
                      <w:sz w:val="26"/>
                      <w:szCs w:val="26"/>
                      <w:lang w:val="pl-PL"/>
                    </w:rPr>
                  </w:pPr>
                  <w:r w:rsidRPr="00357D93">
                    <w:rPr>
                      <w:rFonts w:ascii="Times New Roman" w:hAnsi="Times New Roman" w:cs="Times New Roman"/>
                      <w:iCs/>
                      <w:sz w:val="26"/>
                      <w:szCs w:val="26"/>
                      <w:lang w:val="pl-PL"/>
                    </w:rPr>
                    <w:t>Không áp dụng</w:t>
                  </w:r>
                </w:p>
              </w:tc>
            </w:tr>
          </w:tbl>
          <w:p w:rsidR="00A451D0" w:rsidRPr="00357D93" w:rsidRDefault="00A451D0" w:rsidP="00A451D0">
            <w:pPr>
              <w:tabs>
                <w:tab w:val="left" w:pos="5790"/>
              </w:tabs>
              <w:spacing w:before="20" w:after="20"/>
              <w:rPr>
                <w:rFonts w:ascii="Times New Roman" w:hAnsi="Times New Roman" w:cs="Times New Roman"/>
                <w:b/>
                <w:sz w:val="26"/>
                <w:szCs w:val="26"/>
              </w:rPr>
            </w:pPr>
          </w:p>
        </w:tc>
      </w:tr>
      <w:tr w:rsidR="00A451D0" w:rsidRPr="00357D93" w:rsidTr="00A451D0">
        <w:tc>
          <w:tcPr>
            <w:tcW w:w="1899" w:type="dxa"/>
          </w:tcPr>
          <w:p w:rsidR="00A451D0" w:rsidRPr="00357D93" w:rsidRDefault="00A451D0" w:rsidP="00A451D0">
            <w:pPr>
              <w:spacing w:before="20" w:after="20" w:line="276" w:lineRule="auto"/>
              <w:rPr>
                <w:rFonts w:ascii="Times New Roman" w:hAnsi="Times New Roman" w:cs="Times New Roman"/>
                <w:b/>
                <w:sz w:val="26"/>
                <w:szCs w:val="26"/>
              </w:rPr>
            </w:pPr>
            <w:r w:rsidRPr="00357D93">
              <w:rPr>
                <w:rFonts w:ascii="Times New Roman" w:hAnsi="Times New Roman" w:cs="Times New Roman"/>
                <w:b/>
                <w:sz w:val="26"/>
                <w:szCs w:val="26"/>
              </w:rPr>
              <w:t>Quy tắc bảo hiểm</w:t>
            </w:r>
          </w:p>
        </w:tc>
        <w:tc>
          <w:tcPr>
            <w:tcW w:w="7292" w:type="dxa"/>
          </w:tcPr>
          <w:p w:rsidR="00A451D0" w:rsidRPr="00357D93" w:rsidRDefault="00A451D0" w:rsidP="00484C91">
            <w:pPr>
              <w:spacing w:before="20" w:after="20" w:line="276" w:lineRule="auto"/>
              <w:rPr>
                <w:rFonts w:ascii="Times New Roman" w:hAnsi="Times New Roman" w:cs="Times New Roman"/>
                <w:sz w:val="26"/>
                <w:szCs w:val="26"/>
              </w:rPr>
            </w:pPr>
            <w:r w:rsidRPr="00357D93">
              <w:rPr>
                <w:rFonts w:ascii="Times New Roman" w:hAnsi="Times New Roman" w:cs="Times New Roman"/>
                <w:sz w:val="26"/>
                <w:szCs w:val="26"/>
              </w:rPr>
              <w:t>Áp dụng theo Quy tắc bảo hiểm Khách du lịch quốc tế ban hành kèm theo Quyết định số 2441/QĐ-PHH ngày 20/08/2012  của Tổng Giám đốc Tổng Công ty Bảo hiểm BIDV (đính kèm) và các sửa đổi bổ sung tại Phụ lục 02</w:t>
            </w:r>
            <w:r w:rsidR="00484C91" w:rsidRPr="00357D93">
              <w:rPr>
                <w:rFonts w:ascii="Times New Roman" w:hAnsi="Times New Roman" w:cs="Times New Roman"/>
                <w:sz w:val="26"/>
                <w:szCs w:val="26"/>
              </w:rPr>
              <w:t xml:space="preserve"> đính kèm.</w:t>
            </w:r>
          </w:p>
        </w:tc>
      </w:tr>
      <w:tr w:rsidR="00A451D0" w:rsidRPr="00357D93" w:rsidTr="00A451D0">
        <w:tc>
          <w:tcPr>
            <w:tcW w:w="1899" w:type="dxa"/>
          </w:tcPr>
          <w:p w:rsidR="00A451D0" w:rsidRPr="00357D93" w:rsidRDefault="00A451D0" w:rsidP="00A451D0">
            <w:pPr>
              <w:spacing w:before="20" w:after="20" w:line="276" w:lineRule="auto"/>
              <w:rPr>
                <w:rFonts w:ascii="Times New Roman" w:hAnsi="Times New Roman" w:cs="Times New Roman"/>
                <w:b/>
                <w:sz w:val="26"/>
                <w:szCs w:val="26"/>
              </w:rPr>
            </w:pPr>
            <w:r w:rsidRPr="00357D93">
              <w:rPr>
                <w:rFonts w:ascii="Times New Roman" w:hAnsi="Times New Roman" w:cs="Times New Roman"/>
                <w:b/>
                <w:sz w:val="26"/>
                <w:szCs w:val="26"/>
              </w:rPr>
              <w:t>Phạm vi địa lý bảo hiểm</w:t>
            </w:r>
          </w:p>
        </w:tc>
        <w:tc>
          <w:tcPr>
            <w:tcW w:w="7292" w:type="dxa"/>
          </w:tcPr>
          <w:p w:rsidR="00A451D0" w:rsidRPr="00357D93" w:rsidRDefault="00A451D0" w:rsidP="00A451D0">
            <w:pPr>
              <w:spacing w:before="20" w:after="20" w:line="276" w:lineRule="auto"/>
              <w:rPr>
                <w:rFonts w:ascii="Times New Roman" w:hAnsi="Times New Roman" w:cs="Times New Roman"/>
                <w:sz w:val="26"/>
                <w:szCs w:val="26"/>
              </w:rPr>
            </w:pPr>
            <w:r w:rsidRPr="00357D93">
              <w:rPr>
                <w:rFonts w:ascii="Times New Roman" w:hAnsi="Times New Roman" w:cs="Times New Roman"/>
                <w:sz w:val="26"/>
                <w:szCs w:val="26"/>
              </w:rPr>
              <w:t>Toàn cầu (bao gồm Việt Nam)</w:t>
            </w:r>
          </w:p>
        </w:tc>
      </w:tr>
      <w:tr w:rsidR="00A451D0" w:rsidRPr="00357D93" w:rsidTr="00A451D0">
        <w:tc>
          <w:tcPr>
            <w:tcW w:w="1899" w:type="dxa"/>
          </w:tcPr>
          <w:p w:rsidR="00A451D0" w:rsidRPr="00357D93" w:rsidRDefault="00A451D0" w:rsidP="00A451D0">
            <w:pPr>
              <w:spacing w:before="20" w:after="20"/>
              <w:rPr>
                <w:rFonts w:ascii="Times New Roman" w:hAnsi="Times New Roman" w:cs="Times New Roman"/>
                <w:b/>
                <w:sz w:val="26"/>
                <w:szCs w:val="26"/>
              </w:rPr>
            </w:pPr>
            <w:r w:rsidRPr="00357D93">
              <w:rPr>
                <w:rFonts w:ascii="Times New Roman" w:hAnsi="Times New Roman" w:cs="Times New Roman"/>
                <w:b/>
                <w:sz w:val="26"/>
                <w:szCs w:val="26"/>
              </w:rPr>
              <w:t>Chuyến đi được bảo hiểm</w:t>
            </w:r>
          </w:p>
        </w:tc>
        <w:tc>
          <w:tcPr>
            <w:tcW w:w="7292" w:type="dxa"/>
          </w:tcPr>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sz w:val="26"/>
                <w:szCs w:val="26"/>
              </w:rPr>
              <w:t xml:space="preserve">Là chuyến đi bằng đường hàng không (nội địa hoặc quốc tế) của Người được bảo hiểm từ điểm khởi hành đến điểm đến ghi trên vé máy bay của Người được bảo hiểm. Chuyến đi có thể là chuyến đi </w:t>
            </w:r>
            <w:r w:rsidRPr="00357D93">
              <w:rPr>
                <w:rFonts w:ascii="Times New Roman" w:hAnsi="Times New Roman" w:cs="Times New Roman"/>
                <w:sz w:val="26"/>
                <w:szCs w:val="26"/>
              </w:rPr>
              <w:lastRenderedPageBreak/>
              <w:t>một mình, đi cùng với nhóm, hoặc chuyến đi nghỉ. (Sau đây gọi tắt là Chuyến đi).</w:t>
            </w:r>
          </w:p>
        </w:tc>
      </w:tr>
      <w:tr w:rsidR="00A451D0" w:rsidRPr="00357D93" w:rsidTr="00A451D0">
        <w:tc>
          <w:tcPr>
            <w:tcW w:w="1899" w:type="dxa"/>
            <w:tcBorders>
              <w:bottom w:val="single" w:sz="4" w:space="0" w:color="auto"/>
            </w:tcBorders>
          </w:tcPr>
          <w:p w:rsidR="00A451D0" w:rsidRPr="00357D93" w:rsidRDefault="00A451D0" w:rsidP="00A451D0">
            <w:pPr>
              <w:spacing w:before="240" w:after="240"/>
              <w:rPr>
                <w:rFonts w:ascii="Times New Roman" w:hAnsi="Times New Roman" w:cs="Times New Roman"/>
                <w:b/>
                <w:sz w:val="26"/>
                <w:szCs w:val="26"/>
              </w:rPr>
            </w:pPr>
            <w:r w:rsidRPr="00357D93">
              <w:rPr>
                <w:rFonts w:ascii="Times New Roman" w:hAnsi="Times New Roman" w:cs="Times New Roman"/>
                <w:b/>
                <w:sz w:val="26"/>
                <w:szCs w:val="26"/>
              </w:rPr>
              <w:lastRenderedPageBreak/>
              <w:t>Khiếu nại và giải quyết bồi thường</w:t>
            </w:r>
          </w:p>
          <w:p w:rsidR="00A451D0" w:rsidRPr="00357D93" w:rsidRDefault="00A451D0" w:rsidP="00A451D0">
            <w:pPr>
              <w:spacing w:before="20" w:after="20"/>
              <w:rPr>
                <w:rFonts w:ascii="Times New Roman" w:hAnsi="Times New Roman" w:cs="Times New Roman"/>
                <w:b/>
                <w:sz w:val="26"/>
                <w:szCs w:val="26"/>
              </w:rPr>
            </w:pPr>
          </w:p>
        </w:tc>
        <w:tc>
          <w:tcPr>
            <w:tcW w:w="7292" w:type="dxa"/>
            <w:tcBorders>
              <w:bottom w:val="single" w:sz="4" w:space="0" w:color="auto"/>
            </w:tcBorders>
          </w:tcPr>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sz w:val="26"/>
                <w:szCs w:val="26"/>
              </w:rPr>
              <w:t xml:space="preserve">a, Khi phát sinh sự kiện bảo hiểm, BIDV và/hoặc Chủ thẻ/Người được bảo hiểm có trách nhiệm thông báo bằng văn bản cho BIC trong vòng 30 ngày kể từ ngày hoàn tất Chuyến đi </w:t>
            </w:r>
          </w:p>
          <w:p w:rsidR="00A451D0" w:rsidRPr="00357D93" w:rsidRDefault="00A451D0" w:rsidP="00A451D0">
            <w:pPr>
              <w:rPr>
                <w:rFonts w:ascii="Times New Roman" w:hAnsi="Times New Roman" w:cs="Times New Roman"/>
                <w:sz w:val="26"/>
                <w:szCs w:val="26"/>
              </w:rPr>
            </w:pPr>
            <w:r w:rsidRPr="00357D93">
              <w:rPr>
                <w:rFonts w:ascii="Times New Roman" w:hAnsi="Times New Roman" w:cs="Times New Roman"/>
                <w:sz w:val="26"/>
                <w:szCs w:val="26"/>
              </w:rPr>
              <w:t>b, Khi cần tư vấn hoặc hỗ trợ khẩn cấp, xin liên hệ:</w:t>
            </w:r>
          </w:p>
          <w:p w:rsidR="00A451D0" w:rsidRPr="00357D93" w:rsidRDefault="00A451D0" w:rsidP="00A451D0">
            <w:pPr>
              <w:pStyle w:val="ListParagraph"/>
              <w:numPr>
                <w:ilvl w:val="0"/>
                <w:numId w:val="20"/>
              </w:numPr>
              <w:rPr>
                <w:rFonts w:ascii="Times New Roman" w:hAnsi="Times New Roman" w:cs="Times New Roman"/>
                <w:sz w:val="26"/>
                <w:szCs w:val="26"/>
              </w:rPr>
            </w:pPr>
            <w:r w:rsidRPr="00357D93">
              <w:rPr>
                <w:rFonts w:ascii="Times New Roman" w:hAnsi="Times New Roman" w:cs="Times New Roman"/>
                <w:sz w:val="26"/>
                <w:szCs w:val="26"/>
              </w:rPr>
              <w:t>Trong nước: 19009456 hoặc 18009456 (ext.3)</w:t>
            </w:r>
          </w:p>
          <w:p w:rsidR="00A451D0" w:rsidRPr="00357D93" w:rsidRDefault="00A451D0" w:rsidP="00A451D0">
            <w:pPr>
              <w:pStyle w:val="ListParagraph"/>
              <w:numPr>
                <w:ilvl w:val="0"/>
                <w:numId w:val="20"/>
              </w:numPr>
              <w:rPr>
                <w:rFonts w:ascii="Times New Roman" w:hAnsi="Times New Roman" w:cs="Times New Roman"/>
                <w:sz w:val="26"/>
                <w:szCs w:val="26"/>
              </w:rPr>
            </w:pPr>
            <w:r w:rsidRPr="00357D93">
              <w:rPr>
                <w:rFonts w:ascii="Times New Roman" w:hAnsi="Times New Roman" w:cs="Times New Roman"/>
                <w:sz w:val="26"/>
                <w:szCs w:val="26"/>
              </w:rPr>
              <w:t>Quốc tế:  đường dây nóng 24/24h của INTER PARTNER ASSISTANCE CO., LTD. (Thailand) (+662 039-5717). Khi gọi tới, vui lòng cung cấp tên, số thẻ, công ty bảo hiểm (ở đây là BIC), địa điểm, tình hình sự việc và số điện thoại của người cần liên hệ.</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sz w:val="26"/>
                <w:szCs w:val="26"/>
              </w:rPr>
              <w:t xml:space="preserve">c, Tất cả các khiếu nại và giấy tờ liên quan đến </w:t>
            </w:r>
            <w:r w:rsidR="00484C91" w:rsidRPr="00357D93">
              <w:rPr>
                <w:rFonts w:ascii="Times New Roman" w:hAnsi="Times New Roman" w:cs="Times New Roman"/>
                <w:sz w:val="26"/>
                <w:szCs w:val="26"/>
              </w:rPr>
              <w:t xml:space="preserve">Đơn bảo hiểm </w:t>
            </w:r>
            <w:r w:rsidRPr="00357D93">
              <w:rPr>
                <w:rFonts w:ascii="Times New Roman" w:hAnsi="Times New Roman" w:cs="Times New Roman"/>
                <w:sz w:val="26"/>
                <w:szCs w:val="26"/>
              </w:rPr>
              <w:t>phải được gửi đến địa chỉ:</w:t>
            </w:r>
          </w:p>
          <w:p w:rsidR="00A451D0" w:rsidRPr="00357D93" w:rsidRDefault="00A451D0" w:rsidP="00A451D0">
            <w:pPr>
              <w:spacing w:before="120" w:after="120"/>
              <w:rPr>
                <w:rFonts w:ascii="Times New Roman" w:hAnsi="Times New Roman" w:cs="Times New Roman"/>
                <w:b/>
                <w:sz w:val="26"/>
                <w:szCs w:val="26"/>
              </w:rPr>
            </w:pPr>
            <w:r w:rsidRPr="00357D93">
              <w:rPr>
                <w:rFonts w:ascii="Times New Roman" w:hAnsi="Times New Roman" w:cs="Times New Roman"/>
                <w:b/>
                <w:sz w:val="26"/>
                <w:szCs w:val="26"/>
              </w:rPr>
              <w:t>Tổng Công ty Bảo hiểm BIDV (BIC)</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sz w:val="26"/>
                <w:szCs w:val="26"/>
              </w:rPr>
              <w:t>Tầng 11, tòa nhà số 263 đường Cầu Giấy, phường Dịch Vọng Hậu, quận Cầu Giấy, thành phố Hà Nội.</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b/>
                <w:sz w:val="26"/>
                <w:szCs w:val="26"/>
              </w:rPr>
              <w:t>Điện thoại:</w:t>
            </w:r>
            <w:r w:rsidRPr="00357D93">
              <w:rPr>
                <w:rFonts w:ascii="Times New Roman" w:hAnsi="Times New Roman" w:cs="Times New Roman"/>
                <w:sz w:val="26"/>
                <w:szCs w:val="26"/>
              </w:rPr>
              <w:t xml:space="preserve"> 024.2220.0282</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b/>
                <w:sz w:val="26"/>
                <w:szCs w:val="26"/>
              </w:rPr>
              <w:t>Fax:</w:t>
            </w:r>
            <w:r w:rsidRPr="00357D93">
              <w:rPr>
                <w:rFonts w:ascii="Times New Roman" w:hAnsi="Times New Roman" w:cs="Times New Roman"/>
                <w:sz w:val="26"/>
                <w:szCs w:val="26"/>
              </w:rPr>
              <w:t xml:space="preserve"> </w:t>
            </w:r>
            <w:r w:rsidRPr="00357D93">
              <w:rPr>
                <w:rFonts w:ascii="Times New Roman" w:hAnsi="Times New Roman" w:cs="Times New Roman"/>
                <w:sz w:val="26"/>
                <w:szCs w:val="26"/>
              </w:rPr>
              <w:tab/>
              <w:t xml:space="preserve">         024.2220.0281</w:t>
            </w:r>
          </w:p>
          <w:p w:rsidR="00A451D0" w:rsidRPr="00357D93" w:rsidRDefault="00A451D0" w:rsidP="00A451D0">
            <w:pPr>
              <w:spacing w:before="120" w:after="120" w:line="276" w:lineRule="auto"/>
              <w:rPr>
                <w:rFonts w:ascii="Times New Roman" w:hAnsi="Times New Roman" w:cs="Times New Roman"/>
                <w:sz w:val="26"/>
                <w:szCs w:val="26"/>
              </w:rPr>
            </w:pPr>
            <w:r w:rsidRPr="00357D93">
              <w:rPr>
                <w:rFonts w:ascii="Times New Roman" w:hAnsi="Times New Roman" w:cs="Times New Roman"/>
                <w:b/>
                <w:sz w:val="26"/>
                <w:szCs w:val="26"/>
              </w:rPr>
              <w:t xml:space="preserve">Email:        </w:t>
            </w:r>
            <w:hyperlink r:id="rId6" w:history="1">
              <w:r w:rsidRPr="00357D93">
                <w:rPr>
                  <w:rStyle w:val="Hyperlink"/>
                  <w:rFonts w:ascii="Times New Roman" w:hAnsi="Times New Roman" w:cs="Times New Roman"/>
                  <w:sz w:val="26"/>
                  <w:szCs w:val="26"/>
                </w:rPr>
                <w:t>baolanhvienphi.bic@bidv.com.vn</w:t>
              </w:r>
            </w:hyperlink>
            <w:r w:rsidRPr="00357D93">
              <w:rPr>
                <w:rFonts w:ascii="Times New Roman" w:hAnsi="Times New Roman" w:cs="Times New Roman"/>
                <w:sz w:val="26"/>
                <w:szCs w:val="26"/>
              </w:rPr>
              <w:t xml:space="preserve">  </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b/>
                <w:sz w:val="26"/>
                <w:szCs w:val="26"/>
              </w:rPr>
              <w:t>Hotline:</w:t>
            </w:r>
            <w:r w:rsidRPr="00357D93">
              <w:rPr>
                <w:rFonts w:ascii="Times New Roman" w:hAnsi="Times New Roman" w:cs="Times New Roman"/>
                <w:sz w:val="26"/>
                <w:szCs w:val="26"/>
              </w:rPr>
              <w:t xml:space="preserve">     19009456 hoặc 18009456 (ext. 3)</w:t>
            </w:r>
          </w:p>
          <w:p w:rsidR="00A451D0" w:rsidRPr="00357D93" w:rsidRDefault="00A451D0" w:rsidP="00A451D0">
            <w:pPr>
              <w:spacing w:before="120" w:after="120" w:line="276" w:lineRule="auto"/>
              <w:rPr>
                <w:rFonts w:ascii="Times New Roman" w:hAnsi="Times New Roman" w:cs="Times New Roman"/>
                <w:sz w:val="26"/>
                <w:szCs w:val="26"/>
              </w:rPr>
            </w:pPr>
            <w:r w:rsidRPr="00357D93">
              <w:rPr>
                <w:rFonts w:ascii="Times New Roman" w:hAnsi="Times New Roman" w:cs="Times New Roman"/>
                <w:sz w:val="26"/>
                <w:szCs w:val="26"/>
              </w:rPr>
              <w:t>Hoặc sẽ được thông báo ngay cho BIDV khi có sự thay đổi địa chỉ liên lạc.</w:t>
            </w:r>
          </w:p>
          <w:p w:rsidR="00A451D0" w:rsidRPr="00357D93" w:rsidRDefault="00A451D0" w:rsidP="00A451D0">
            <w:pPr>
              <w:spacing w:before="120" w:after="120"/>
              <w:rPr>
                <w:rFonts w:ascii="Times New Roman" w:hAnsi="Times New Roman" w:cs="Times New Roman"/>
                <w:sz w:val="26"/>
                <w:szCs w:val="26"/>
              </w:rPr>
            </w:pPr>
            <w:r w:rsidRPr="00357D93">
              <w:rPr>
                <w:rFonts w:ascii="Times New Roman" w:hAnsi="Times New Roman" w:cs="Times New Roman"/>
                <w:sz w:val="26"/>
                <w:szCs w:val="26"/>
              </w:rPr>
              <w:t>d, Việc bồi thường cho bất cứ tổn thất nào sẽ được thực hiện trong vòng 15 ngày làm việc kể từ khi nhận được đầy đủ các Hồ sơ yêu cầu trả tiền bảo hiểm như sau:</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(1) Bản gốc Giấy yêu cầu trả tiền bảo hiểm;</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(2) Bản sao Hồ sơ mở thẻ của Người được bảo hiểm do Bên mua bảo hiểm cung cấp và xác nhận;</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(3) Bản gốc hoặc bản sao Biên bản tai nạn có xác nhận của cơ quan nơi công tác hoặc chính quyền địa phương hoặc công an nơi Người được bảo hiểm bị tai nạn; Giấy phép lái xe phù hợp với loại xe đang điều khiển khi bị tai nạn;</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(4) Bản gốc hoặc bản sao Chứng từ điều trị của cơ quan y tế (giấy ra viện, phiếu điều trị và các giấy tờ có liên quan đến việc điều trị tai nạn);</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 xml:space="preserve">(5) Bản gốc hoặc bản sao Chứng nhận thương tật của Hội đồng </w:t>
            </w:r>
            <w:r w:rsidRPr="00357D93">
              <w:rPr>
                <w:rFonts w:ascii="Times New Roman" w:hAnsi="Times New Roman" w:cs="Times New Roman"/>
                <w:sz w:val="26"/>
                <w:szCs w:val="26"/>
              </w:rPr>
              <w:lastRenderedPageBreak/>
              <w:t>giám định y khoa (trường hợp thương tật toàn bộ vĩnh viễn);</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(6) Bản gốc hoặc bản sao Biên bản khám nghiệm tử thi (nếu có);</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(7) Trích lục khai tử và giấy xác nhận quyền thừa kế hợp pháp, giấy tờ chứng minh mối quan hệ giữa NĐBH và người thừa kế (trường hợp chết);</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(8) CMND/Visa/Hộ chiếu, Vé máy bay;</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 xml:space="preserve"> (9) Bản gốc hoặc bản sao Hóa đơn tiền vé + cuống vé; hóa đơn tiền phòng, tiền ăn, tiền làm lại giấy tờ thông hành…(trường hợp hủy bỏ/cắt ngắn chuyến đi)</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(10</w:t>
            </w:r>
            <w:commentRangeStart w:id="1"/>
            <w:r w:rsidRPr="00357D93">
              <w:rPr>
                <w:rFonts w:ascii="Times New Roman" w:hAnsi="Times New Roman" w:cs="Times New Roman"/>
                <w:sz w:val="26"/>
                <w:szCs w:val="26"/>
              </w:rPr>
              <w:t xml:space="preserve">) Bản gốc Hóa đơn sửa chữa, thay thế tài sản bị thiệt hại; Bảng kê chi tiết giá trị tài sản bị thiệt hại; </w:t>
            </w:r>
            <w:commentRangeStart w:id="2"/>
            <w:r w:rsidRPr="00357D93">
              <w:rPr>
                <w:rFonts w:ascii="Times New Roman" w:hAnsi="Times New Roman" w:cs="Times New Roman"/>
                <w:sz w:val="26"/>
                <w:szCs w:val="26"/>
              </w:rPr>
              <w:t>Giấy tờ mua bán ban đầu của tài sản bị thiệt hại</w:t>
            </w:r>
            <w:commentRangeEnd w:id="2"/>
            <w:r w:rsidRPr="00357D93">
              <w:rPr>
                <w:rStyle w:val="CommentReference"/>
                <w:rFonts w:ascii="Times New Roman" w:hAnsi="Times New Roman" w:cs="Times New Roman"/>
                <w:sz w:val="26"/>
                <w:szCs w:val="26"/>
              </w:rPr>
              <w:commentReference w:id="2"/>
            </w:r>
            <w:r w:rsidRPr="00357D93">
              <w:rPr>
                <w:rFonts w:ascii="Times New Roman" w:hAnsi="Times New Roman" w:cs="Times New Roman"/>
                <w:sz w:val="26"/>
                <w:szCs w:val="26"/>
              </w:rPr>
              <w:t xml:space="preserve">; Biên bản hoặc Công văn thông báo của cơ quan vận chuyển về việc mất toàn bộ kiện hành lý và biên bản xác minh mức độ thiệt hại; Thế quyền của BIC đòi bên thứ ba (trường hợp phát sinh trách nhiệm bên thứ ba) (trường hợp mất, hư hỏng hành </w:t>
            </w:r>
            <w:commentRangeStart w:id="3"/>
            <w:commentRangeStart w:id="4"/>
            <w:r w:rsidRPr="00357D93">
              <w:rPr>
                <w:rFonts w:ascii="Times New Roman" w:hAnsi="Times New Roman" w:cs="Times New Roman"/>
                <w:sz w:val="26"/>
                <w:szCs w:val="26"/>
              </w:rPr>
              <w:t>lý</w:t>
            </w:r>
            <w:commentRangeEnd w:id="3"/>
            <w:r w:rsidRPr="00357D93">
              <w:rPr>
                <w:rStyle w:val="CommentReference"/>
                <w:rFonts w:ascii="Times New Roman" w:hAnsi="Times New Roman" w:cs="Times New Roman"/>
                <w:sz w:val="26"/>
                <w:szCs w:val="26"/>
              </w:rPr>
              <w:commentReference w:id="3"/>
            </w:r>
            <w:commentRangeEnd w:id="4"/>
            <w:r w:rsidRPr="00357D93">
              <w:rPr>
                <w:rStyle w:val="CommentReference"/>
                <w:rFonts w:ascii="Times New Roman" w:hAnsi="Times New Roman" w:cs="Times New Roman"/>
                <w:sz w:val="26"/>
                <w:szCs w:val="26"/>
              </w:rPr>
              <w:commentReference w:id="4"/>
            </w:r>
            <w:r w:rsidRPr="00357D93">
              <w:rPr>
                <w:rFonts w:ascii="Times New Roman" w:hAnsi="Times New Roman" w:cs="Times New Roman"/>
                <w:sz w:val="26"/>
                <w:szCs w:val="26"/>
              </w:rPr>
              <w:t>).</w:t>
            </w:r>
            <w:commentRangeEnd w:id="1"/>
            <w:r w:rsidRPr="00357D93">
              <w:rPr>
                <w:rStyle w:val="CommentReference"/>
                <w:rFonts w:ascii="Times New Roman" w:hAnsi="Times New Roman" w:cs="Times New Roman"/>
                <w:sz w:val="26"/>
                <w:szCs w:val="26"/>
              </w:rPr>
              <w:commentReference w:id="1"/>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(11) Trường hợp Người được bảo hiểm ủy quyền cho người khác nhận Số tiền bảo hiểm thì phải có giấy uỷ quyền hợp pháp;</w:t>
            </w:r>
          </w:p>
          <w:p w:rsidR="00A451D0" w:rsidRPr="00357D93" w:rsidRDefault="00A451D0" w:rsidP="00A451D0">
            <w:pPr>
              <w:pStyle w:val="ListParagraph"/>
              <w:spacing w:before="120" w:after="120"/>
              <w:ind w:left="1029" w:hanging="425"/>
              <w:rPr>
                <w:rFonts w:ascii="Times New Roman" w:hAnsi="Times New Roman" w:cs="Times New Roman"/>
                <w:sz w:val="26"/>
                <w:szCs w:val="26"/>
              </w:rPr>
            </w:pPr>
            <w:r w:rsidRPr="00357D93">
              <w:rPr>
                <w:rFonts w:ascii="Times New Roman" w:hAnsi="Times New Roman" w:cs="Times New Roman"/>
                <w:sz w:val="26"/>
                <w:szCs w:val="26"/>
              </w:rPr>
              <w:t>(12) Các giấy tờ, tài liệu khác có liên quan theo yêu cầu của BIC phù hợp với quy định của pháp luật.</w:t>
            </w:r>
          </w:p>
          <w:p w:rsidR="00A451D0" w:rsidRPr="00357D93" w:rsidRDefault="00A451D0" w:rsidP="00A451D0">
            <w:pPr>
              <w:spacing w:before="120" w:after="120" w:line="276" w:lineRule="auto"/>
              <w:rPr>
                <w:rFonts w:ascii="Times New Roman" w:hAnsi="Times New Roman" w:cs="Times New Roman"/>
                <w:i/>
                <w:sz w:val="26"/>
                <w:szCs w:val="26"/>
              </w:rPr>
            </w:pPr>
            <w:r w:rsidRPr="00357D93">
              <w:rPr>
                <w:rFonts w:ascii="Times New Roman" w:hAnsi="Times New Roman" w:cs="Times New Roman"/>
                <w:sz w:val="26"/>
                <w:szCs w:val="26"/>
              </w:rPr>
              <w:t xml:space="preserve"> </w:t>
            </w:r>
            <w:r w:rsidRPr="00357D93">
              <w:rPr>
                <w:rFonts w:ascii="Times New Roman" w:hAnsi="Times New Roman" w:cs="Times New Roman"/>
                <w:b/>
                <w:i/>
                <w:sz w:val="26"/>
                <w:szCs w:val="26"/>
              </w:rPr>
              <w:t>Một số lưu ý:</w:t>
            </w:r>
          </w:p>
          <w:p w:rsidR="00A451D0" w:rsidRPr="00357D93" w:rsidRDefault="00A451D0" w:rsidP="00A451D0">
            <w:pPr>
              <w:pStyle w:val="CM14"/>
              <w:numPr>
                <w:ilvl w:val="0"/>
                <w:numId w:val="20"/>
              </w:numPr>
              <w:spacing w:before="20" w:after="20"/>
              <w:ind w:left="324" w:hanging="270"/>
              <w:rPr>
                <w:rFonts w:ascii="Times New Roman" w:hAnsi="Times New Roman"/>
                <w:sz w:val="26"/>
                <w:szCs w:val="26"/>
              </w:rPr>
            </w:pPr>
            <w:commentRangeStart w:id="5"/>
            <w:r w:rsidRPr="00357D93">
              <w:rPr>
                <w:rFonts w:ascii="Times New Roman" w:hAnsi="Times New Roman"/>
                <w:sz w:val="26"/>
                <w:szCs w:val="26"/>
              </w:rPr>
              <w:t>Đối với chứng từ tại khoản (10):</w:t>
            </w:r>
          </w:p>
          <w:p w:rsidR="00A451D0" w:rsidRPr="00357D93" w:rsidRDefault="00A451D0" w:rsidP="00A451D0">
            <w:pPr>
              <w:pStyle w:val="CM14"/>
              <w:spacing w:before="20" w:after="20"/>
              <w:ind w:left="324"/>
              <w:rPr>
                <w:rFonts w:ascii="Times New Roman" w:hAnsi="Times New Roman"/>
                <w:sz w:val="26"/>
                <w:szCs w:val="26"/>
              </w:rPr>
            </w:pPr>
            <w:r w:rsidRPr="00357D93">
              <w:rPr>
                <w:rFonts w:ascii="Times New Roman" w:hAnsi="Times New Roman"/>
                <w:sz w:val="26"/>
                <w:szCs w:val="26"/>
              </w:rPr>
              <w:t>+ Các đồ vật có hóa đơn chứng từ chứng minh giá trị: Doanh nghiệp bảo hiểm sẽ chi trả theo nguyên tắc mới thay cũ hoặc sửa chữa không tính khấu hao với hạn mức tối đa 5.000.000 đồng trên một đồ vât hoặc bộ đôi đồ vật hoặc nhóm đồ vật. Nếu giá trị thay thế mới thấp hơn giá trị hóa đơn, doanh nghiệp bảo hiểm sẽ chi trả theo giá trị thay thế mới. Nếu giá trị thay thế mới cao hơn giá trị hóa đơn, doanh nghiệp bảo hiểm sẽ chi trả theo giá trị hóa đơn và không tính khấu hao.</w:t>
            </w:r>
          </w:p>
          <w:p w:rsidR="00A451D0" w:rsidRPr="00357D93" w:rsidRDefault="00A451D0" w:rsidP="00A451D0">
            <w:pPr>
              <w:pStyle w:val="CM14"/>
              <w:spacing w:before="20" w:after="20"/>
              <w:ind w:left="324"/>
              <w:rPr>
                <w:rFonts w:ascii="Times New Roman" w:hAnsi="Times New Roman"/>
                <w:sz w:val="26"/>
                <w:szCs w:val="26"/>
              </w:rPr>
            </w:pPr>
            <w:r w:rsidRPr="00357D93">
              <w:rPr>
                <w:rFonts w:ascii="Times New Roman" w:hAnsi="Times New Roman"/>
                <w:sz w:val="26"/>
                <w:szCs w:val="26"/>
              </w:rPr>
              <w:t>+ Đồ vật không có giấy tờ chứng minh giá trị: Doanh nghiệp bảo hiểm sẽ xem xét và quyết định chi trả theo nguyên tắc mới thay cũ hay sửa chữa không khấu hao theo giá trị khai báo, tùy theo giá trị nào thấp hơn. Tổng số tiền tối đa có thể được bồi thường cho tất cả các đồ vật thuộc nhóm này là 4.200.000 đồng/vụ</w:t>
            </w:r>
            <w:commentRangeEnd w:id="5"/>
            <w:r w:rsidRPr="00357D93">
              <w:rPr>
                <w:rStyle w:val="CommentReference"/>
                <w:rFonts w:ascii="Times New Roman" w:eastAsiaTheme="minorEastAsia" w:hAnsi="Times New Roman"/>
                <w:sz w:val="26"/>
                <w:szCs w:val="26"/>
              </w:rPr>
              <w:commentReference w:id="5"/>
            </w:r>
            <w:r w:rsidRPr="00357D93">
              <w:rPr>
                <w:rFonts w:ascii="Times New Roman" w:hAnsi="Times New Roman"/>
                <w:sz w:val="26"/>
                <w:szCs w:val="26"/>
              </w:rPr>
              <w:t>.</w:t>
            </w:r>
          </w:p>
          <w:p w:rsidR="00A451D0" w:rsidRPr="00357D93" w:rsidRDefault="00A451D0" w:rsidP="00A451D0">
            <w:pPr>
              <w:pStyle w:val="CM14"/>
              <w:numPr>
                <w:ilvl w:val="0"/>
                <w:numId w:val="20"/>
              </w:numPr>
              <w:spacing w:before="20" w:after="20"/>
              <w:ind w:left="324" w:hanging="270"/>
              <w:rPr>
                <w:rFonts w:ascii="Times New Roman" w:hAnsi="Times New Roman"/>
                <w:sz w:val="26"/>
                <w:szCs w:val="26"/>
              </w:rPr>
            </w:pPr>
            <w:r w:rsidRPr="00357D93">
              <w:rPr>
                <w:rFonts w:ascii="Times New Roman" w:hAnsi="Times New Roman"/>
                <w:sz w:val="26"/>
                <w:szCs w:val="26"/>
              </w:rPr>
              <w:t>Trong trường hợp BIC cần tiến hành điều tra yêu cầu bồi thường theo Đơn bảo hiểm này, thời gian điều tra có thể được mở rộng nếu thấy cần thiết, nhưng tổng thời gian không quá 90 ngày làm việc kể từ ngày BIC nhận được đủ các hồ sơ chứng minh tổn thất.</w:t>
            </w:r>
          </w:p>
          <w:p w:rsidR="00A451D0" w:rsidRPr="00357D93" w:rsidRDefault="00A451D0" w:rsidP="00A451D0">
            <w:pPr>
              <w:pStyle w:val="ListParagraph"/>
              <w:numPr>
                <w:ilvl w:val="0"/>
                <w:numId w:val="20"/>
              </w:numPr>
              <w:spacing w:before="20" w:after="20"/>
              <w:ind w:left="324" w:hanging="270"/>
              <w:rPr>
                <w:rFonts w:ascii="Times New Roman" w:hAnsi="Times New Roman" w:cs="Times New Roman"/>
                <w:sz w:val="26"/>
                <w:szCs w:val="26"/>
              </w:rPr>
            </w:pPr>
            <w:r w:rsidRPr="00357D93">
              <w:rPr>
                <w:rFonts w:ascii="Times New Roman" w:hAnsi="Times New Roman" w:cs="Times New Roman"/>
                <w:sz w:val="26"/>
                <w:szCs w:val="26"/>
              </w:rPr>
              <w:lastRenderedPageBreak/>
              <w:t>Việc bồi thường cho trường hợp chết và bất cứ khoản tiền bồi thường cộng dồn nào khác chưa được thanh toán tại thời điểm Người được bảo hiểm qua đời sẽ được thanh toán cho người thừa kế của Người được bảo hiểm. Việc người thừa kế của Người được bảo hiểm nhận được các khoản tiền bồi thường đó được xem là BIC đã hoàn thành trách nhiệm.</w:t>
            </w:r>
          </w:p>
          <w:p w:rsidR="00A451D0" w:rsidRPr="00357D93" w:rsidRDefault="00A451D0" w:rsidP="00A451D0">
            <w:pPr>
              <w:spacing w:before="20" w:after="20"/>
              <w:rPr>
                <w:rFonts w:ascii="Times New Roman" w:hAnsi="Times New Roman" w:cs="Times New Roman"/>
                <w:b/>
                <w:sz w:val="26"/>
                <w:szCs w:val="26"/>
              </w:rPr>
            </w:pPr>
            <w:r w:rsidRPr="00357D93">
              <w:rPr>
                <w:rFonts w:ascii="Times New Roman" w:hAnsi="Times New Roman" w:cs="Times New Roman"/>
                <w:b/>
                <w:sz w:val="26"/>
                <w:szCs w:val="26"/>
              </w:rPr>
              <w:t>Thời hiệu khởi kiện</w:t>
            </w:r>
          </w:p>
          <w:p w:rsidR="00A451D0" w:rsidRPr="00357D93" w:rsidRDefault="00A451D0" w:rsidP="00A451D0">
            <w:pPr>
              <w:spacing w:before="20" w:after="20"/>
              <w:rPr>
                <w:rFonts w:ascii="Times New Roman" w:hAnsi="Times New Roman" w:cs="Times New Roman"/>
                <w:sz w:val="26"/>
                <w:szCs w:val="26"/>
              </w:rPr>
            </w:pPr>
            <w:r w:rsidRPr="00357D93">
              <w:rPr>
                <w:rFonts w:ascii="Times New Roman" w:hAnsi="Times New Roman" w:cs="Times New Roman"/>
                <w:sz w:val="26"/>
                <w:szCs w:val="26"/>
              </w:rPr>
              <w:t>Thời hiệu khởi kiện về hợp đồng bảo hiểm là ba năm kể từ thời điểm phát sinh tranh chấp.</w:t>
            </w:r>
          </w:p>
        </w:tc>
      </w:tr>
      <w:tr w:rsidR="00A451D0" w:rsidRPr="00357D93" w:rsidTr="00A451D0">
        <w:tc>
          <w:tcPr>
            <w:tcW w:w="1899" w:type="dxa"/>
            <w:tcBorders>
              <w:bottom w:val="single" w:sz="4" w:space="0" w:color="auto"/>
            </w:tcBorders>
          </w:tcPr>
          <w:p w:rsidR="00A451D0" w:rsidRPr="00357D93" w:rsidRDefault="00A451D0" w:rsidP="00A451D0">
            <w:pPr>
              <w:spacing w:before="20" w:after="20"/>
              <w:rPr>
                <w:rFonts w:ascii="Times New Roman" w:hAnsi="Times New Roman" w:cs="Times New Roman"/>
                <w:b/>
                <w:sz w:val="26"/>
                <w:szCs w:val="26"/>
              </w:rPr>
            </w:pPr>
            <w:r w:rsidRPr="00357D93">
              <w:rPr>
                <w:rFonts w:ascii="Times New Roman" w:hAnsi="Times New Roman" w:cs="Times New Roman"/>
                <w:b/>
                <w:sz w:val="26"/>
                <w:szCs w:val="26"/>
              </w:rPr>
              <w:lastRenderedPageBreak/>
              <w:t>Công ty Bảo hiểm</w:t>
            </w:r>
          </w:p>
        </w:tc>
        <w:tc>
          <w:tcPr>
            <w:tcW w:w="7292" w:type="dxa"/>
            <w:tcBorders>
              <w:bottom w:val="single" w:sz="4" w:space="0" w:color="auto"/>
            </w:tcBorders>
          </w:tcPr>
          <w:p w:rsidR="00A451D0" w:rsidRPr="00357D93" w:rsidRDefault="00A451D0" w:rsidP="00A451D0">
            <w:pPr>
              <w:spacing w:before="20" w:after="20"/>
              <w:rPr>
                <w:rFonts w:ascii="Times New Roman" w:hAnsi="Times New Roman" w:cs="Times New Roman"/>
                <w:sz w:val="26"/>
                <w:szCs w:val="26"/>
              </w:rPr>
            </w:pPr>
            <w:r w:rsidRPr="00357D93">
              <w:rPr>
                <w:rFonts w:ascii="Times New Roman" w:hAnsi="Times New Roman" w:cs="Times New Roman"/>
                <w:sz w:val="26"/>
                <w:szCs w:val="26"/>
              </w:rPr>
              <w:t>Tổng Công ty Bảo hiểm BIDV (BIC)</w:t>
            </w:r>
          </w:p>
        </w:tc>
      </w:tr>
    </w:tbl>
    <w:p w:rsidR="003A771E" w:rsidRPr="00357D93" w:rsidRDefault="003A771E" w:rsidP="00DE40B0">
      <w:pPr>
        <w:rPr>
          <w:rFonts w:ascii="Times New Roman" w:hAnsi="Times New Roman" w:cs="Times New Roman"/>
          <w:b/>
          <w:sz w:val="26"/>
          <w:szCs w:val="26"/>
        </w:rPr>
      </w:pPr>
    </w:p>
    <w:p w:rsidR="00357D93" w:rsidRDefault="00357D93" w:rsidP="00357D93">
      <w:pPr>
        <w:rPr>
          <w:rFonts w:ascii="Times New Roman" w:hAnsi="Times New Roman" w:cs="Times New Roman"/>
          <w:sz w:val="26"/>
          <w:szCs w:val="26"/>
        </w:rPr>
      </w:pPr>
    </w:p>
    <w:p w:rsidR="00357D93" w:rsidRDefault="00357D93">
      <w:pPr>
        <w:rPr>
          <w:rFonts w:ascii="Times New Roman" w:hAnsi="Times New Roman" w:cs="Times New Roman"/>
          <w:sz w:val="26"/>
          <w:szCs w:val="26"/>
        </w:rPr>
      </w:pPr>
      <w:r>
        <w:rPr>
          <w:rFonts w:ascii="Times New Roman" w:hAnsi="Times New Roman" w:cs="Times New Roman"/>
          <w:sz w:val="26"/>
          <w:szCs w:val="26"/>
        </w:rPr>
        <w:br w:type="page"/>
      </w:r>
    </w:p>
    <w:p w:rsidR="00DE40B0" w:rsidRPr="00357D93" w:rsidRDefault="00EF03F2" w:rsidP="00357D93">
      <w:pPr>
        <w:rPr>
          <w:rFonts w:ascii="Times New Roman" w:hAnsi="Times New Roman" w:cs="Times New Roman"/>
          <w:sz w:val="26"/>
          <w:szCs w:val="26"/>
        </w:rPr>
      </w:pPr>
      <w:r w:rsidRPr="00357D93">
        <w:rPr>
          <w:rFonts w:ascii="Times New Roman" w:hAnsi="Times New Roman" w:cs="Times New Roman"/>
          <w:b/>
          <w:sz w:val="26"/>
          <w:szCs w:val="26"/>
        </w:rPr>
        <w:lastRenderedPageBreak/>
        <w:t>PHỤ LỤC</w:t>
      </w:r>
      <w:r w:rsidR="00DE40B0" w:rsidRPr="00357D93">
        <w:rPr>
          <w:rFonts w:ascii="Times New Roman" w:hAnsi="Times New Roman" w:cs="Times New Roman"/>
          <w:b/>
          <w:sz w:val="26"/>
          <w:szCs w:val="26"/>
        </w:rPr>
        <w:t xml:space="preserve"> 2: </w:t>
      </w:r>
      <w:r w:rsidRPr="00357D93">
        <w:rPr>
          <w:rFonts w:ascii="Times New Roman" w:hAnsi="Times New Roman" w:cs="Times New Roman"/>
          <w:b/>
          <w:sz w:val="26"/>
          <w:szCs w:val="26"/>
        </w:rPr>
        <w:t>QUY TẮC VÀ CÁC SỬA ĐỔI BỔ SUNG ÁP DỤNG</w:t>
      </w:r>
    </w:p>
    <w:p w:rsidR="00DE40B0" w:rsidRPr="00357D93" w:rsidRDefault="00DE40B0" w:rsidP="00DE40B0">
      <w:pPr>
        <w:spacing w:before="120" w:after="120" w:line="240" w:lineRule="auto"/>
        <w:jc w:val="both"/>
        <w:rPr>
          <w:rFonts w:ascii="Times New Roman" w:hAnsi="Times New Roman" w:cs="Times New Roman"/>
          <w:sz w:val="26"/>
          <w:szCs w:val="26"/>
        </w:rPr>
      </w:pPr>
      <w:r w:rsidRPr="00357D93">
        <w:rPr>
          <w:rFonts w:ascii="Times New Roman" w:hAnsi="Times New Roman" w:cs="Times New Roman"/>
          <w:sz w:val="26"/>
          <w:szCs w:val="26"/>
        </w:rPr>
        <w:t xml:space="preserve">Áp dụng </w:t>
      </w:r>
      <w:proofErr w:type="gramStart"/>
      <w:r w:rsidRPr="00357D93">
        <w:rPr>
          <w:rFonts w:ascii="Times New Roman" w:hAnsi="Times New Roman" w:cs="Times New Roman"/>
          <w:sz w:val="26"/>
          <w:szCs w:val="26"/>
        </w:rPr>
        <w:t>theo</w:t>
      </w:r>
      <w:proofErr w:type="gramEnd"/>
      <w:r w:rsidRPr="00357D93">
        <w:rPr>
          <w:rFonts w:ascii="Times New Roman" w:hAnsi="Times New Roman" w:cs="Times New Roman"/>
          <w:sz w:val="26"/>
          <w:szCs w:val="26"/>
        </w:rPr>
        <w:t xml:space="preserve"> Quy tắc bảo hiểm Khách du lịch quốc tế ban hành kèm theo Quyết định số: 2441/QĐ-PHH ngày 20/08/2012 của Tổng Giám đốc Tổng Công ty Bảo hiểm BIDV (đính kèm) và các sửa đổi bổ sung sau:</w:t>
      </w:r>
    </w:p>
    <w:p w:rsidR="00DE40B0" w:rsidRPr="00357D93" w:rsidRDefault="00DE40B0" w:rsidP="00DE40B0">
      <w:pPr>
        <w:pStyle w:val="ListParagraph"/>
        <w:numPr>
          <w:ilvl w:val="0"/>
          <w:numId w:val="3"/>
        </w:numPr>
        <w:jc w:val="both"/>
        <w:rPr>
          <w:rFonts w:ascii="Times New Roman" w:hAnsi="Times New Roman" w:cs="Times New Roman"/>
          <w:sz w:val="26"/>
          <w:szCs w:val="26"/>
        </w:rPr>
      </w:pPr>
      <w:r w:rsidRPr="00357D93">
        <w:rPr>
          <w:rFonts w:ascii="Times New Roman" w:hAnsi="Times New Roman" w:cs="Times New Roman"/>
          <w:b/>
          <w:sz w:val="26"/>
          <w:szCs w:val="26"/>
        </w:rPr>
        <w:t>Quyền lợi Vận tải Công cộng:</w:t>
      </w:r>
      <w:r w:rsidRPr="00357D93">
        <w:rPr>
          <w:rFonts w:ascii="Times New Roman" w:hAnsi="Times New Roman" w:cs="Times New Roman"/>
          <w:sz w:val="26"/>
          <w:szCs w:val="26"/>
        </w:rPr>
        <w:t xml:space="preserve"> Là khoản tiền mà BIC phải thanh toán nếu Người được bảo hiểm bị Thương tật Thân thể do một Tai nạn xảy ra khi đang đi chỉ với tư cách là một hành khách lúc ở bên trong, đang trèo lên hoặc trèo xuống, hoặc khi bị va đập bởi, một Phương tiện Vận tải Công cộng (**) trong một Chuyến đi.</w:t>
      </w:r>
    </w:p>
    <w:p w:rsidR="00DE40B0" w:rsidRPr="00357D93" w:rsidRDefault="00DE40B0" w:rsidP="00DE40B0">
      <w:pPr>
        <w:pStyle w:val="ListParagraph"/>
        <w:numPr>
          <w:ilvl w:val="0"/>
          <w:numId w:val="3"/>
        </w:numPr>
        <w:jc w:val="both"/>
        <w:rPr>
          <w:rFonts w:ascii="Times New Roman" w:hAnsi="Times New Roman" w:cs="Times New Roman"/>
          <w:sz w:val="26"/>
          <w:szCs w:val="26"/>
        </w:rPr>
      </w:pPr>
      <w:r w:rsidRPr="00357D93">
        <w:rPr>
          <w:rFonts w:ascii="Times New Roman" w:hAnsi="Times New Roman" w:cs="Times New Roman"/>
          <w:b/>
          <w:sz w:val="26"/>
          <w:szCs w:val="26"/>
        </w:rPr>
        <w:t xml:space="preserve">Quyền lợi Di chuyển đến Sân bay: </w:t>
      </w:r>
      <w:r w:rsidRPr="00357D93">
        <w:rPr>
          <w:rFonts w:ascii="Times New Roman" w:hAnsi="Times New Roman" w:cs="Times New Roman"/>
          <w:sz w:val="26"/>
          <w:szCs w:val="26"/>
        </w:rPr>
        <w:t>Là khoản tiền  mà BIC phải thanh toán nếu Người được bảo hiểm bị Thương tật Thân thể khi đang đi với tư cách là một hành khách lúc ở bên trong, đang trèo lên hoặc trèo xuống, hoặc khi bị va đập bởi, một Phương tiện Vận tải Công cộng đường bộ hay một máy bay trực thăng hoạt động theo lịch trình vận hành dưới dạng Phương tiện Vận tải Công cộng, nhưng chỉ áp dụng khi:</w:t>
      </w:r>
    </w:p>
    <w:p w:rsidR="00DE40B0" w:rsidRPr="00357D93" w:rsidRDefault="00DE40B0" w:rsidP="00DE40B0">
      <w:pPr>
        <w:pStyle w:val="ListParagraph"/>
        <w:numPr>
          <w:ilvl w:val="1"/>
          <w:numId w:val="4"/>
        </w:numPr>
        <w:spacing w:before="120" w:after="120" w:line="240" w:lineRule="auto"/>
        <w:jc w:val="both"/>
        <w:rPr>
          <w:rFonts w:ascii="Times New Roman" w:hAnsi="Times New Roman" w:cs="Times New Roman"/>
          <w:sz w:val="26"/>
          <w:szCs w:val="26"/>
        </w:rPr>
      </w:pPr>
      <w:r w:rsidRPr="00357D93">
        <w:rPr>
          <w:rFonts w:ascii="Times New Roman" w:hAnsi="Times New Roman" w:cs="Times New Roman"/>
          <w:sz w:val="26"/>
          <w:szCs w:val="26"/>
        </w:rPr>
        <w:t>Đang đi thẳng đến sân bay cho mục đích lên một Chuyến bay theo lịch trình trong một Chuyến đi; hoặc</w:t>
      </w:r>
    </w:p>
    <w:p w:rsidR="00DE40B0" w:rsidRPr="00357D93" w:rsidRDefault="00DE40B0" w:rsidP="00DE40B0">
      <w:pPr>
        <w:pStyle w:val="ListParagraph"/>
        <w:numPr>
          <w:ilvl w:val="1"/>
          <w:numId w:val="4"/>
        </w:numPr>
        <w:spacing w:before="120" w:after="120" w:line="240" w:lineRule="auto"/>
        <w:jc w:val="both"/>
        <w:rPr>
          <w:rFonts w:ascii="Times New Roman" w:hAnsi="Times New Roman" w:cs="Times New Roman"/>
          <w:sz w:val="26"/>
          <w:szCs w:val="26"/>
        </w:rPr>
      </w:pPr>
      <w:r w:rsidRPr="00357D93">
        <w:rPr>
          <w:rFonts w:ascii="Times New Roman" w:hAnsi="Times New Roman" w:cs="Times New Roman"/>
          <w:sz w:val="26"/>
          <w:szCs w:val="26"/>
        </w:rPr>
        <w:t xml:space="preserve">Đang rời thẳng khỏi sân bay sau khi xuống máy bay từ một Chuyến bay </w:t>
      </w:r>
      <w:proofErr w:type="gramStart"/>
      <w:r w:rsidRPr="00357D93">
        <w:rPr>
          <w:rFonts w:ascii="Times New Roman" w:hAnsi="Times New Roman" w:cs="Times New Roman"/>
          <w:sz w:val="26"/>
          <w:szCs w:val="26"/>
        </w:rPr>
        <w:t>theo</w:t>
      </w:r>
      <w:proofErr w:type="gramEnd"/>
      <w:r w:rsidRPr="00357D93">
        <w:rPr>
          <w:rFonts w:ascii="Times New Roman" w:hAnsi="Times New Roman" w:cs="Times New Roman"/>
          <w:sz w:val="26"/>
          <w:szCs w:val="26"/>
        </w:rPr>
        <w:t xml:space="preserve"> lịch trình trong một Chuyến đi. </w:t>
      </w:r>
    </w:p>
    <w:p w:rsidR="00DE40B0" w:rsidRPr="00357D93" w:rsidRDefault="00DE40B0" w:rsidP="00DE40B0">
      <w:pPr>
        <w:pStyle w:val="ListParagraph"/>
        <w:numPr>
          <w:ilvl w:val="0"/>
          <w:numId w:val="3"/>
        </w:numPr>
        <w:spacing w:before="120" w:after="120" w:line="240" w:lineRule="auto"/>
        <w:jc w:val="both"/>
        <w:rPr>
          <w:rFonts w:ascii="Times New Roman" w:hAnsi="Times New Roman" w:cs="Times New Roman"/>
          <w:sz w:val="26"/>
          <w:szCs w:val="26"/>
        </w:rPr>
      </w:pPr>
      <w:r w:rsidRPr="00357D93">
        <w:rPr>
          <w:rFonts w:ascii="Times New Roman" w:hAnsi="Times New Roman" w:cs="Times New Roman"/>
          <w:b/>
          <w:sz w:val="26"/>
          <w:szCs w:val="26"/>
        </w:rPr>
        <w:t xml:space="preserve">Quyền lợi Khu vực Sân bay: </w:t>
      </w:r>
      <w:r w:rsidRPr="00357D93">
        <w:rPr>
          <w:rFonts w:ascii="Times New Roman" w:hAnsi="Times New Roman" w:cs="Times New Roman"/>
          <w:sz w:val="26"/>
          <w:szCs w:val="26"/>
        </w:rPr>
        <w:t>Là khoản tiền mà BIC phải thanh toán nếu Người được bảo hiểm bị Thương tật Thân thể khi đang có mặt tại các khu vực sân bay dành cho hành khách, tuy nhiên, chỉ áp dụng khi Người được bảo hiểm đang có mặt tại các khu vực sân bay đó ngay trước khi lên máy bay, hoặc ngay sau khi xuống máy bay từ một Chuyến bay theo lịch trình trong một Chuyến đi.</w:t>
      </w:r>
    </w:p>
    <w:p w:rsidR="00DE40B0" w:rsidRPr="00357D93" w:rsidRDefault="00DE40B0" w:rsidP="00DE40B0">
      <w:pPr>
        <w:spacing w:before="120" w:after="120" w:line="240" w:lineRule="auto"/>
        <w:jc w:val="both"/>
        <w:rPr>
          <w:rFonts w:ascii="Times New Roman" w:hAnsi="Times New Roman" w:cs="Times New Roman"/>
          <w:sz w:val="26"/>
          <w:szCs w:val="26"/>
        </w:rPr>
      </w:pPr>
      <w:r w:rsidRPr="00357D93">
        <w:rPr>
          <w:rFonts w:ascii="Times New Roman" w:hAnsi="Times New Roman" w:cs="Times New Roman"/>
          <w:sz w:val="26"/>
          <w:szCs w:val="26"/>
        </w:rPr>
        <w:t xml:space="preserve">(**) </w:t>
      </w:r>
      <w:proofErr w:type="gramStart"/>
      <w:r w:rsidRPr="00357D93">
        <w:rPr>
          <w:rFonts w:ascii="Times New Roman" w:hAnsi="Times New Roman" w:cs="Times New Roman"/>
          <w:b/>
          <w:sz w:val="26"/>
          <w:szCs w:val="26"/>
        </w:rPr>
        <w:t>“Phương tiện Vận tải Công cộng”</w:t>
      </w:r>
      <w:r w:rsidRPr="00357D93">
        <w:rPr>
          <w:rFonts w:ascii="Times New Roman" w:hAnsi="Times New Roman" w:cs="Times New Roman"/>
          <w:sz w:val="26"/>
          <w:szCs w:val="26"/>
        </w:rPr>
        <w:t xml:space="preserve"> là phương tiện đường không, đường bộ hoặc đường biển (ngoại trừ phương tiện đi thuê) được phép chở khách thuê.</w:t>
      </w:r>
      <w:proofErr w:type="gramEnd"/>
    </w:p>
    <w:p w:rsidR="00DE40B0" w:rsidRPr="00357D93" w:rsidRDefault="00DE40B0" w:rsidP="00DE40B0">
      <w:pPr>
        <w:pStyle w:val="ListParagraph"/>
        <w:numPr>
          <w:ilvl w:val="0"/>
          <w:numId w:val="3"/>
        </w:numPr>
        <w:spacing w:before="120" w:after="120" w:line="240" w:lineRule="auto"/>
        <w:jc w:val="both"/>
        <w:rPr>
          <w:rFonts w:ascii="Times New Roman" w:hAnsi="Times New Roman" w:cs="Times New Roman"/>
          <w:b/>
          <w:sz w:val="26"/>
          <w:szCs w:val="26"/>
        </w:rPr>
      </w:pPr>
      <w:r w:rsidRPr="00357D93">
        <w:rPr>
          <w:rFonts w:ascii="Times New Roman" w:hAnsi="Times New Roman" w:cs="Times New Roman"/>
          <w:b/>
          <w:sz w:val="26"/>
          <w:szCs w:val="26"/>
        </w:rPr>
        <w:t>Trì hoãn hành lý</w:t>
      </w:r>
    </w:p>
    <w:p w:rsidR="00DE40B0" w:rsidRPr="00357D93" w:rsidRDefault="00DE40B0" w:rsidP="00DE40B0">
      <w:pPr>
        <w:spacing w:before="120" w:after="120" w:line="240" w:lineRule="auto"/>
        <w:jc w:val="both"/>
        <w:rPr>
          <w:rFonts w:ascii="Times New Roman" w:hAnsi="Times New Roman" w:cs="Times New Roman"/>
          <w:sz w:val="26"/>
          <w:szCs w:val="26"/>
        </w:rPr>
      </w:pPr>
      <w:r w:rsidRPr="00357D93">
        <w:rPr>
          <w:rFonts w:ascii="Times New Roman" w:hAnsi="Times New Roman" w:cs="Times New Roman"/>
          <w:sz w:val="26"/>
          <w:szCs w:val="26"/>
        </w:rPr>
        <w:t>Trong trường hợp Hành lý của Chủ thẻ tạm thời bị thất lạc hoặc bị mất ở trong phạm vi "</w:t>
      </w:r>
      <w:r w:rsidRPr="00357D93">
        <w:rPr>
          <w:rFonts w:ascii="Times New Roman" w:hAnsi="Times New Roman" w:cs="Times New Roman"/>
          <w:b/>
          <w:sz w:val="26"/>
          <w:szCs w:val="26"/>
        </w:rPr>
        <w:t>Chuyến đi"</w:t>
      </w:r>
      <w:r w:rsidRPr="00357D93">
        <w:rPr>
          <w:rFonts w:ascii="Times New Roman" w:hAnsi="Times New Roman" w:cs="Times New Roman"/>
          <w:sz w:val="26"/>
          <w:szCs w:val="26"/>
        </w:rPr>
        <w:t xml:space="preserve">của hãng hàng không trong vòng ít nhất 12 (mười hai) giờ kể từ thời điểm đến do bị trì hoãn, vận chuyển sai hay không giao hành lý, BIC sẽ hoàn lại cho Chủ thẻ với hạn mức được nêu trong bảng quyền lợi cho mỗi giờ chậm trễ, tối đa 12 (mười hai) giờ, mức khấu trừ áp dụng là 04 (bốn) giờ đầu tiên. </w:t>
      </w:r>
      <w:proofErr w:type="gramStart"/>
      <w:r w:rsidRPr="00357D93">
        <w:rPr>
          <w:rFonts w:ascii="Times New Roman" w:hAnsi="Times New Roman" w:cs="Times New Roman"/>
          <w:sz w:val="26"/>
          <w:szCs w:val="26"/>
        </w:rPr>
        <w:t>Sự chậm trễ này phải được hãng hàng không xác nhận bằng văn bản và nêu rõ thời gian chậm trễ thực tế.</w:t>
      </w:r>
      <w:proofErr w:type="gramEnd"/>
    </w:p>
    <w:p w:rsidR="00DE40B0" w:rsidRPr="00357D93" w:rsidRDefault="00DE40B0" w:rsidP="00DE40B0">
      <w:pPr>
        <w:pStyle w:val="ListParagraph"/>
        <w:numPr>
          <w:ilvl w:val="0"/>
          <w:numId w:val="3"/>
        </w:numPr>
        <w:spacing w:before="120" w:after="120" w:line="240" w:lineRule="auto"/>
        <w:jc w:val="both"/>
        <w:rPr>
          <w:rFonts w:ascii="Times New Roman" w:hAnsi="Times New Roman" w:cs="Times New Roman"/>
          <w:b/>
          <w:sz w:val="26"/>
          <w:szCs w:val="26"/>
        </w:rPr>
      </w:pPr>
      <w:r w:rsidRPr="00357D93">
        <w:rPr>
          <w:rFonts w:ascii="Times New Roman" w:hAnsi="Times New Roman" w:cs="Times New Roman"/>
          <w:b/>
          <w:sz w:val="26"/>
          <w:szCs w:val="26"/>
        </w:rPr>
        <w:t>Mở rộng bảo hiểm đối với chuyến đi trong phạm vi Việt Nam</w:t>
      </w:r>
    </w:p>
    <w:p w:rsidR="00DE40B0" w:rsidRPr="00357D93" w:rsidRDefault="00484C91" w:rsidP="00357D93">
      <w:pPr>
        <w:jc w:val="both"/>
        <w:rPr>
          <w:rFonts w:ascii="Times New Roman" w:hAnsi="Times New Roman" w:cs="Times New Roman"/>
          <w:sz w:val="26"/>
          <w:szCs w:val="26"/>
        </w:rPr>
      </w:pPr>
      <w:r w:rsidRPr="00357D93">
        <w:rPr>
          <w:rFonts w:ascii="Times New Roman" w:hAnsi="Times New Roman" w:cs="Times New Roman"/>
          <w:sz w:val="26"/>
          <w:szCs w:val="26"/>
        </w:rPr>
        <w:t xml:space="preserve">Đơn bảo hiểm </w:t>
      </w:r>
      <w:r w:rsidR="00DE40B0" w:rsidRPr="00357D93">
        <w:rPr>
          <w:rFonts w:ascii="Times New Roman" w:hAnsi="Times New Roman" w:cs="Times New Roman"/>
          <w:sz w:val="26"/>
          <w:szCs w:val="26"/>
        </w:rPr>
        <w:t xml:space="preserve">mở rộng bảo hiểm đối với các chuyến đi trong phạm </w:t>
      </w:r>
      <w:proofErr w:type="gramStart"/>
      <w:r w:rsidR="00DE40B0" w:rsidRPr="00357D93">
        <w:rPr>
          <w:rFonts w:ascii="Times New Roman" w:hAnsi="Times New Roman" w:cs="Times New Roman"/>
          <w:sz w:val="26"/>
          <w:szCs w:val="26"/>
        </w:rPr>
        <w:t>vi</w:t>
      </w:r>
      <w:proofErr w:type="gramEnd"/>
      <w:r w:rsidR="00DE40B0" w:rsidRPr="00357D93">
        <w:rPr>
          <w:rFonts w:ascii="Times New Roman" w:hAnsi="Times New Roman" w:cs="Times New Roman"/>
          <w:sz w:val="26"/>
          <w:szCs w:val="26"/>
        </w:rPr>
        <w:t xml:space="preserve"> Việt Nam bằng đường hàng không. Thời gian bắt đầu bảo hiểm của chuyến đi trong phạm </w:t>
      </w:r>
      <w:proofErr w:type="gramStart"/>
      <w:r w:rsidR="00DE40B0" w:rsidRPr="00357D93">
        <w:rPr>
          <w:rFonts w:ascii="Times New Roman" w:hAnsi="Times New Roman" w:cs="Times New Roman"/>
          <w:sz w:val="26"/>
          <w:szCs w:val="26"/>
        </w:rPr>
        <w:t>vi</w:t>
      </w:r>
      <w:proofErr w:type="gramEnd"/>
      <w:r w:rsidR="00DE40B0" w:rsidRPr="00357D93">
        <w:rPr>
          <w:rFonts w:ascii="Times New Roman" w:hAnsi="Times New Roman" w:cs="Times New Roman"/>
          <w:sz w:val="26"/>
          <w:szCs w:val="26"/>
        </w:rPr>
        <w:t xml:space="preserve"> Việt Nam tính từ điểm khởi hành đến điểm đến ghi trên vé máy bay của Người được bảo hiểm</w:t>
      </w:r>
      <w:r w:rsidR="00357D93">
        <w:rPr>
          <w:rFonts w:ascii="Times New Roman" w:hAnsi="Times New Roman" w:cs="Times New Roman"/>
          <w:sz w:val="26"/>
          <w:szCs w:val="26"/>
        </w:rPr>
        <w:t>.</w:t>
      </w:r>
    </w:p>
    <w:p w:rsidR="000D3501" w:rsidRPr="00357D93" w:rsidRDefault="000D3501" w:rsidP="003A771E">
      <w:pPr>
        <w:jc w:val="both"/>
        <w:rPr>
          <w:rFonts w:ascii="Times New Roman" w:hAnsi="Times New Roman" w:cs="Times New Roman"/>
          <w:sz w:val="26"/>
          <w:szCs w:val="26"/>
        </w:rPr>
      </w:pPr>
    </w:p>
    <w:sectPr w:rsidR="000D3501" w:rsidRPr="00357D9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IDV Legal" w:date="2021-04-02T17:33:00Z" w:initials="BIDVLegal">
    <w:p w:rsidR="00A451D0" w:rsidRDefault="00A451D0" w:rsidP="00A451D0">
      <w:pPr>
        <w:pStyle w:val="CommentText"/>
      </w:pPr>
      <w:r>
        <w:rPr>
          <w:rStyle w:val="CommentReference"/>
        </w:rPr>
        <w:annotationRef/>
      </w:r>
      <w:r>
        <w:t>Trong nhiều TH khách hàng không thể cung cấp được giấy tờ này.Đây là nội dung mới so với HĐ của năm 2020 (bản PC tgyk)</w:t>
      </w:r>
    </w:p>
  </w:comment>
  <w:comment w:id="3" w:author="BIDV Legal" w:date="2021-04-02T17:33:00Z" w:initials="BIDVLegal">
    <w:p w:rsidR="00A451D0" w:rsidRDefault="00A451D0" w:rsidP="00A451D0">
      <w:pPr>
        <w:pStyle w:val="CommentText"/>
      </w:pPr>
      <w:r>
        <w:rPr>
          <w:rStyle w:val="CommentReference"/>
        </w:rPr>
        <w:annotationRef/>
      </w:r>
      <w:r>
        <w:t>Toàn bộ khoản này là là nội dung mới so với HĐ năm 2020 =&gt; KH phải cung cấp thêm giấy tờ so với năm ngoái để dược bảo hiểm. Đê nghị rà soát mức độ khả thi của các tài liệu này đồi với KH.</w:t>
      </w:r>
    </w:p>
  </w:comment>
  <w:comment w:id="4" w:author="Vũ Thị Thu Hằng" w:date="2021-04-02T17:33:00Z" w:initials="VTTH">
    <w:p w:rsidR="00A451D0" w:rsidRDefault="00A451D0" w:rsidP="00A451D0">
      <w:pPr>
        <w:pStyle w:val="CommentText"/>
      </w:pPr>
      <w:r>
        <w:rPr>
          <w:rStyle w:val="CommentReference"/>
        </w:rPr>
        <w:annotationRef/>
      </w:r>
      <w:r>
        <w:t xml:space="preserve">Xin ý kiến ban PHH về việc bổ sung thêm quy định cách giải quyết bồi thường trong trường hợp KH không cung cấp được Giấy tờ mua bán tài sản ban đầu như hợp đồng </w:t>
      </w:r>
      <w:r w:rsidRPr="00C635D0">
        <w:rPr>
          <w:rFonts w:ascii="Times New Roman" w:hAnsi="Times New Roman" w:cs="Times New Roman"/>
          <w:b/>
          <w:sz w:val="32"/>
          <w:szCs w:val="27"/>
        </w:rPr>
        <w:t xml:space="preserve">Đơn bảo hiểm </w:t>
      </w:r>
      <w:r w:rsidRPr="0030725E">
        <w:rPr>
          <w:rFonts w:ascii="Times New Roman" w:hAnsi="Times New Roman" w:cs="Times New Roman"/>
          <w:b/>
          <w:sz w:val="32"/>
          <w:szCs w:val="27"/>
        </w:rPr>
        <w:t>cho chủ thẻ Tín dụng Plantinum BIDV</w:t>
      </w:r>
      <w:r>
        <w:rPr>
          <w:rFonts w:ascii="Times New Roman" w:hAnsi="Times New Roman" w:cs="Times New Roman"/>
          <w:b/>
          <w:sz w:val="32"/>
          <w:szCs w:val="27"/>
        </w:rPr>
        <w:t>.</w:t>
      </w:r>
    </w:p>
  </w:comment>
  <w:comment w:id="1" w:author="Trần Hải Yến" w:date="2021-04-02T17:33:00Z" w:initials="YenTH">
    <w:p w:rsidR="00A451D0" w:rsidRDefault="00A451D0" w:rsidP="00A451D0">
      <w:pPr>
        <w:pStyle w:val="CommentText"/>
      </w:pPr>
      <w:r>
        <w:rPr>
          <w:rStyle w:val="CommentReference"/>
        </w:rPr>
        <w:annotationRef/>
      </w:r>
      <w:r>
        <w:t>Bổ sung theo hợp đồng Platinum đã ký kết.</w:t>
      </w:r>
    </w:p>
  </w:comment>
  <w:comment w:id="5" w:author="Trần Hải Yến" w:date="2021-04-02T17:33:00Z" w:initials="YenTH">
    <w:p w:rsidR="00A451D0" w:rsidRDefault="00A451D0" w:rsidP="00A451D0">
      <w:pPr>
        <w:pStyle w:val="CommentText"/>
      </w:pPr>
      <w:r>
        <w:rPr>
          <w:rStyle w:val="CommentReference"/>
        </w:rPr>
        <w:annotationRef/>
      </w:r>
      <w:r>
        <w:t>Bổ sung thêm cách GQ theo thẻ Platinu</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HHEL K+ S C. Pseudo. Font. 0">
    <w:altName w:val="Smallcaps Pseudo Fon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EC6"/>
    <w:multiLevelType w:val="hybridMultilevel"/>
    <w:tmpl w:val="B832FDA6"/>
    <w:lvl w:ilvl="0" w:tplc="9932A49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0C1FB0"/>
    <w:multiLevelType w:val="hybridMultilevel"/>
    <w:tmpl w:val="A8A8E8D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BF906AD"/>
    <w:multiLevelType w:val="hybridMultilevel"/>
    <w:tmpl w:val="0A3286C2"/>
    <w:lvl w:ilvl="0" w:tplc="E4B81B26">
      <w:start w:val="1"/>
      <w:numFmt w:val="lowerLetter"/>
      <w:lvlText w:val="%1)"/>
      <w:lvlJc w:val="left"/>
      <w:pPr>
        <w:ind w:left="501"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3">
    <w:nsid w:val="0CFE303B"/>
    <w:multiLevelType w:val="hybridMultilevel"/>
    <w:tmpl w:val="E99A6E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3029C6"/>
    <w:multiLevelType w:val="hybridMultilevel"/>
    <w:tmpl w:val="8E2490F4"/>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30B3D6E"/>
    <w:multiLevelType w:val="hybridMultilevel"/>
    <w:tmpl w:val="3160812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D43B9"/>
    <w:multiLevelType w:val="hybridMultilevel"/>
    <w:tmpl w:val="80746C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79156E"/>
    <w:multiLevelType w:val="hybridMultilevel"/>
    <w:tmpl w:val="81ECC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CF2E86"/>
    <w:multiLevelType w:val="hybridMultilevel"/>
    <w:tmpl w:val="019AD79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8D85B52"/>
    <w:multiLevelType w:val="hybridMultilevel"/>
    <w:tmpl w:val="5FE438C4"/>
    <w:lvl w:ilvl="0" w:tplc="1ED0870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EC2150"/>
    <w:multiLevelType w:val="hybridMultilevel"/>
    <w:tmpl w:val="6AB29268"/>
    <w:lvl w:ilvl="0" w:tplc="0409001B">
      <w:start w:val="1"/>
      <w:numFmt w:val="lowerRoman"/>
      <w:lvlText w:val="%1."/>
      <w:lvlJc w:val="right"/>
      <w:pPr>
        <w:ind w:left="1571"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3D01861"/>
    <w:multiLevelType w:val="hybridMultilevel"/>
    <w:tmpl w:val="F72E364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9E167C"/>
    <w:multiLevelType w:val="hybridMultilevel"/>
    <w:tmpl w:val="30626E2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C962BE8"/>
    <w:multiLevelType w:val="hybridMultilevel"/>
    <w:tmpl w:val="B6902B4A"/>
    <w:lvl w:ilvl="0" w:tplc="0409000F">
      <w:start w:val="1"/>
      <w:numFmt w:val="decimal"/>
      <w:lvlText w:val="%1."/>
      <w:lvlJc w:val="left"/>
      <w:pPr>
        <w:tabs>
          <w:tab w:val="num" w:pos="720"/>
        </w:tabs>
        <w:ind w:left="720" w:hanging="360"/>
      </w:pPr>
      <w:rPr>
        <w:rFonts w:hint="default"/>
      </w:rPr>
    </w:lvl>
    <w:lvl w:ilvl="1" w:tplc="83A4C92C">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7234BE"/>
    <w:multiLevelType w:val="hybridMultilevel"/>
    <w:tmpl w:val="8B4427E2"/>
    <w:lvl w:ilvl="0" w:tplc="8200DADE">
      <w:start w:val="1"/>
      <w:numFmt w:val="decimal"/>
      <w:lvlText w:val="%1."/>
      <w:lvlJc w:val="left"/>
      <w:pPr>
        <w:ind w:left="360" w:hanging="360"/>
      </w:pPr>
      <w:rPr>
        <w:rFonts w:ascii="Times New Roman" w:hAnsi="Times New Roman" w:cs="Times New Roman" w:hint="default"/>
        <w:b/>
        <w:sz w:val="27"/>
        <w:szCs w:val="27"/>
      </w:rPr>
    </w:lvl>
    <w:lvl w:ilvl="1" w:tplc="3920D8AE">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61454AF"/>
    <w:multiLevelType w:val="hybridMultilevel"/>
    <w:tmpl w:val="0A3286C2"/>
    <w:lvl w:ilvl="0" w:tplc="E4B81B26">
      <w:start w:val="1"/>
      <w:numFmt w:val="lowerLetter"/>
      <w:lvlText w:val="%1)"/>
      <w:lvlJc w:val="left"/>
      <w:pPr>
        <w:ind w:left="501" w:hanging="360"/>
      </w:pPr>
      <w:rPr>
        <w:rFonts w:hint="default"/>
      </w:rPr>
    </w:lvl>
    <w:lvl w:ilvl="1" w:tplc="04090019" w:tentative="1">
      <w:start w:val="1"/>
      <w:numFmt w:val="lowerLetter"/>
      <w:lvlText w:val="%2."/>
      <w:lvlJc w:val="left"/>
      <w:pPr>
        <w:ind w:left="228" w:hanging="360"/>
      </w:pPr>
    </w:lvl>
    <w:lvl w:ilvl="2" w:tplc="0409001B" w:tentative="1">
      <w:start w:val="1"/>
      <w:numFmt w:val="lowerRoman"/>
      <w:lvlText w:val="%3."/>
      <w:lvlJc w:val="right"/>
      <w:pPr>
        <w:ind w:left="948" w:hanging="180"/>
      </w:pPr>
    </w:lvl>
    <w:lvl w:ilvl="3" w:tplc="0409000F" w:tentative="1">
      <w:start w:val="1"/>
      <w:numFmt w:val="decimal"/>
      <w:lvlText w:val="%4."/>
      <w:lvlJc w:val="left"/>
      <w:pPr>
        <w:ind w:left="1668" w:hanging="360"/>
      </w:pPr>
    </w:lvl>
    <w:lvl w:ilvl="4" w:tplc="04090019" w:tentative="1">
      <w:start w:val="1"/>
      <w:numFmt w:val="lowerLetter"/>
      <w:lvlText w:val="%5."/>
      <w:lvlJc w:val="left"/>
      <w:pPr>
        <w:ind w:left="2388" w:hanging="360"/>
      </w:pPr>
    </w:lvl>
    <w:lvl w:ilvl="5" w:tplc="0409001B" w:tentative="1">
      <w:start w:val="1"/>
      <w:numFmt w:val="lowerRoman"/>
      <w:lvlText w:val="%6."/>
      <w:lvlJc w:val="right"/>
      <w:pPr>
        <w:ind w:left="3108" w:hanging="180"/>
      </w:pPr>
    </w:lvl>
    <w:lvl w:ilvl="6" w:tplc="0409000F" w:tentative="1">
      <w:start w:val="1"/>
      <w:numFmt w:val="decimal"/>
      <w:lvlText w:val="%7."/>
      <w:lvlJc w:val="left"/>
      <w:pPr>
        <w:ind w:left="3828" w:hanging="360"/>
      </w:pPr>
    </w:lvl>
    <w:lvl w:ilvl="7" w:tplc="04090019" w:tentative="1">
      <w:start w:val="1"/>
      <w:numFmt w:val="lowerLetter"/>
      <w:lvlText w:val="%8."/>
      <w:lvlJc w:val="left"/>
      <w:pPr>
        <w:ind w:left="4548" w:hanging="360"/>
      </w:pPr>
    </w:lvl>
    <w:lvl w:ilvl="8" w:tplc="0409001B" w:tentative="1">
      <w:start w:val="1"/>
      <w:numFmt w:val="lowerRoman"/>
      <w:lvlText w:val="%9."/>
      <w:lvlJc w:val="right"/>
      <w:pPr>
        <w:ind w:left="5268" w:hanging="180"/>
      </w:pPr>
    </w:lvl>
  </w:abstractNum>
  <w:abstractNum w:abstractNumId="16">
    <w:nsid w:val="697D35A8"/>
    <w:multiLevelType w:val="hybridMultilevel"/>
    <w:tmpl w:val="1CCAC7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F20DCE"/>
    <w:multiLevelType w:val="hybridMultilevel"/>
    <w:tmpl w:val="6E5092A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A11192"/>
    <w:multiLevelType w:val="hybridMultilevel"/>
    <w:tmpl w:val="7B807454"/>
    <w:lvl w:ilvl="0" w:tplc="04090019">
      <w:start w:val="1"/>
      <w:numFmt w:val="lowerLetter"/>
      <w:lvlText w:val="%1."/>
      <w:lvlJc w:val="left"/>
      <w:pPr>
        <w:tabs>
          <w:tab w:val="num" w:pos="1446"/>
        </w:tabs>
        <w:ind w:left="1446" w:hanging="360"/>
      </w:pPr>
    </w:lvl>
    <w:lvl w:ilvl="1" w:tplc="04090019" w:tentative="1">
      <w:start w:val="1"/>
      <w:numFmt w:val="lowerLetter"/>
      <w:lvlText w:val="%2."/>
      <w:lvlJc w:val="left"/>
      <w:pPr>
        <w:tabs>
          <w:tab w:val="num" w:pos="2166"/>
        </w:tabs>
        <w:ind w:left="2166" w:hanging="360"/>
      </w:pPr>
    </w:lvl>
    <w:lvl w:ilvl="2" w:tplc="0409001B" w:tentative="1">
      <w:start w:val="1"/>
      <w:numFmt w:val="lowerRoman"/>
      <w:lvlText w:val="%3."/>
      <w:lvlJc w:val="right"/>
      <w:pPr>
        <w:tabs>
          <w:tab w:val="num" w:pos="2886"/>
        </w:tabs>
        <w:ind w:left="2886" w:hanging="180"/>
      </w:pPr>
    </w:lvl>
    <w:lvl w:ilvl="3" w:tplc="0409000F" w:tentative="1">
      <w:start w:val="1"/>
      <w:numFmt w:val="decimal"/>
      <w:lvlText w:val="%4."/>
      <w:lvlJc w:val="left"/>
      <w:pPr>
        <w:tabs>
          <w:tab w:val="num" w:pos="3606"/>
        </w:tabs>
        <w:ind w:left="3606" w:hanging="360"/>
      </w:pPr>
    </w:lvl>
    <w:lvl w:ilvl="4" w:tplc="04090019" w:tentative="1">
      <w:start w:val="1"/>
      <w:numFmt w:val="lowerLetter"/>
      <w:lvlText w:val="%5."/>
      <w:lvlJc w:val="left"/>
      <w:pPr>
        <w:tabs>
          <w:tab w:val="num" w:pos="4326"/>
        </w:tabs>
        <w:ind w:left="4326" w:hanging="360"/>
      </w:pPr>
    </w:lvl>
    <w:lvl w:ilvl="5" w:tplc="0409001B" w:tentative="1">
      <w:start w:val="1"/>
      <w:numFmt w:val="lowerRoman"/>
      <w:lvlText w:val="%6."/>
      <w:lvlJc w:val="right"/>
      <w:pPr>
        <w:tabs>
          <w:tab w:val="num" w:pos="5046"/>
        </w:tabs>
        <w:ind w:left="5046" w:hanging="180"/>
      </w:pPr>
    </w:lvl>
    <w:lvl w:ilvl="6" w:tplc="0409000F" w:tentative="1">
      <w:start w:val="1"/>
      <w:numFmt w:val="decimal"/>
      <w:lvlText w:val="%7."/>
      <w:lvlJc w:val="left"/>
      <w:pPr>
        <w:tabs>
          <w:tab w:val="num" w:pos="5766"/>
        </w:tabs>
        <w:ind w:left="5766" w:hanging="360"/>
      </w:pPr>
    </w:lvl>
    <w:lvl w:ilvl="7" w:tplc="04090019" w:tentative="1">
      <w:start w:val="1"/>
      <w:numFmt w:val="lowerLetter"/>
      <w:lvlText w:val="%8."/>
      <w:lvlJc w:val="left"/>
      <w:pPr>
        <w:tabs>
          <w:tab w:val="num" w:pos="6486"/>
        </w:tabs>
        <w:ind w:left="6486" w:hanging="360"/>
      </w:pPr>
    </w:lvl>
    <w:lvl w:ilvl="8" w:tplc="0409001B" w:tentative="1">
      <w:start w:val="1"/>
      <w:numFmt w:val="lowerRoman"/>
      <w:lvlText w:val="%9."/>
      <w:lvlJc w:val="right"/>
      <w:pPr>
        <w:tabs>
          <w:tab w:val="num" w:pos="7206"/>
        </w:tabs>
        <w:ind w:left="7206" w:hanging="180"/>
      </w:pPr>
    </w:lvl>
  </w:abstractNum>
  <w:abstractNum w:abstractNumId="19">
    <w:nsid w:val="7C5E75C6"/>
    <w:multiLevelType w:val="hybridMultilevel"/>
    <w:tmpl w:val="5D5AB8A4"/>
    <w:lvl w:ilvl="0" w:tplc="04090019">
      <w:start w:val="1"/>
      <w:numFmt w:val="lowerLetter"/>
      <w:lvlText w:val="%1."/>
      <w:lvlJc w:val="left"/>
      <w:pPr>
        <w:tabs>
          <w:tab w:val="num" w:pos="1080"/>
        </w:tabs>
        <w:ind w:left="1080" w:hanging="360"/>
      </w:pPr>
    </w:lvl>
    <w:lvl w:ilvl="1" w:tplc="E2C6768A">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0"/>
  </w:num>
  <w:num w:numId="3">
    <w:abstractNumId w:val="14"/>
  </w:num>
  <w:num w:numId="4">
    <w:abstractNumId w:val="10"/>
  </w:num>
  <w:num w:numId="5">
    <w:abstractNumId w:val="2"/>
  </w:num>
  <w:num w:numId="6">
    <w:abstractNumId w:val="7"/>
  </w:num>
  <w:num w:numId="7">
    <w:abstractNumId w:val="16"/>
  </w:num>
  <w:num w:numId="8">
    <w:abstractNumId w:val="12"/>
  </w:num>
  <w:num w:numId="9">
    <w:abstractNumId w:val="13"/>
  </w:num>
  <w:num w:numId="10">
    <w:abstractNumId w:val="5"/>
  </w:num>
  <w:num w:numId="11">
    <w:abstractNumId w:val="6"/>
  </w:num>
  <w:num w:numId="12">
    <w:abstractNumId w:val="17"/>
  </w:num>
  <w:num w:numId="13">
    <w:abstractNumId w:val="11"/>
  </w:num>
  <w:num w:numId="14">
    <w:abstractNumId w:val="19"/>
  </w:num>
  <w:num w:numId="15">
    <w:abstractNumId w:val="18"/>
  </w:num>
  <w:num w:numId="16">
    <w:abstractNumId w:val="1"/>
  </w:num>
  <w:num w:numId="17">
    <w:abstractNumId w:val="8"/>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00"/>
    <w:rsid w:val="000255EC"/>
    <w:rsid w:val="000D3501"/>
    <w:rsid w:val="00236300"/>
    <w:rsid w:val="00357D93"/>
    <w:rsid w:val="003A771E"/>
    <w:rsid w:val="003B4A93"/>
    <w:rsid w:val="003F4F50"/>
    <w:rsid w:val="00484C91"/>
    <w:rsid w:val="006E4975"/>
    <w:rsid w:val="007C2661"/>
    <w:rsid w:val="008137DC"/>
    <w:rsid w:val="008B1B92"/>
    <w:rsid w:val="00A451D0"/>
    <w:rsid w:val="00AA3FA0"/>
    <w:rsid w:val="00CA5913"/>
    <w:rsid w:val="00CB7C59"/>
    <w:rsid w:val="00D97BF0"/>
    <w:rsid w:val="00DE40B0"/>
    <w:rsid w:val="00EF03F2"/>
    <w:rsid w:val="00F3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7D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37DC"/>
    <w:pPr>
      <w:ind w:left="720"/>
      <w:contextualSpacing/>
    </w:pPr>
    <w:rPr>
      <w:rFonts w:eastAsiaTheme="minorEastAsia"/>
    </w:rPr>
  </w:style>
  <w:style w:type="paragraph" w:styleId="BalloonText">
    <w:name w:val="Balloon Text"/>
    <w:basedOn w:val="Normal"/>
    <w:link w:val="BalloonTextChar"/>
    <w:uiPriority w:val="99"/>
    <w:semiHidden/>
    <w:unhideWhenUsed/>
    <w:rsid w:val="006E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5"/>
    <w:rPr>
      <w:rFonts w:ascii="Tahoma" w:hAnsi="Tahoma" w:cs="Tahoma"/>
      <w:sz w:val="16"/>
      <w:szCs w:val="16"/>
    </w:rPr>
  </w:style>
  <w:style w:type="character" w:styleId="CommentReference">
    <w:name w:val="annotation reference"/>
    <w:basedOn w:val="DefaultParagraphFont"/>
    <w:uiPriority w:val="99"/>
    <w:semiHidden/>
    <w:unhideWhenUsed/>
    <w:rsid w:val="00A451D0"/>
    <w:rPr>
      <w:sz w:val="16"/>
      <w:szCs w:val="16"/>
    </w:rPr>
  </w:style>
  <w:style w:type="paragraph" w:styleId="CommentText">
    <w:name w:val="annotation text"/>
    <w:basedOn w:val="Normal"/>
    <w:link w:val="CommentTextChar"/>
    <w:uiPriority w:val="99"/>
    <w:unhideWhenUsed/>
    <w:rsid w:val="00A451D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451D0"/>
    <w:rPr>
      <w:rFonts w:eastAsiaTheme="minorEastAsia"/>
      <w:sz w:val="20"/>
      <w:szCs w:val="20"/>
    </w:rPr>
  </w:style>
  <w:style w:type="character" w:styleId="Hyperlink">
    <w:name w:val="Hyperlink"/>
    <w:basedOn w:val="DefaultParagraphFont"/>
    <w:uiPriority w:val="99"/>
    <w:unhideWhenUsed/>
    <w:rsid w:val="00A451D0"/>
    <w:rPr>
      <w:color w:val="0000FF" w:themeColor="hyperlink"/>
      <w:u w:val="single"/>
    </w:rPr>
  </w:style>
  <w:style w:type="character" w:customStyle="1" w:styleId="ListParagraphChar">
    <w:name w:val="List Paragraph Char"/>
    <w:link w:val="ListParagraph"/>
    <w:uiPriority w:val="34"/>
    <w:locked/>
    <w:rsid w:val="00A451D0"/>
    <w:rPr>
      <w:rFonts w:eastAsiaTheme="minorEastAsia"/>
    </w:rPr>
  </w:style>
  <w:style w:type="paragraph" w:customStyle="1" w:styleId="CM14">
    <w:name w:val="CM14"/>
    <w:basedOn w:val="Normal"/>
    <w:next w:val="Normal"/>
    <w:uiPriority w:val="99"/>
    <w:rsid w:val="00A451D0"/>
    <w:pPr>
      <w:widowControl w:val="0"/>
      <w:autoSpaceDE w:val="0"/>
      <w:autoSpaceDN w:val="0"/>
      <w:adjustRightInd w:val="0"/>
      <w:spacing w:after="0" w:line="240" w:lineRule="auto"/>
    </w:pPr>
    <w:rPr>
      <w:rFonts w:ascii="JHHEL K+ S C. Pseudo. Font. 0" w:eastAsia="Times New Roman" w:hAnsi="JHHEL K+ S C. Pseudo. Font. 0"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7D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137DC"/>
    <w:pPr>
      <w:ind w:left="720"/>
      <w:contextualSpacing/>
    </w:pPr>
    <w:rPr>
      <w:rFonts w:eastAsiaTheme="minorEastAsia"/>
    </w:rPr>
  </w:style>
  <w:style w:type="paragraph" w:styleId="BalloonText">
    <w:name w:val="Balloon Text"/>
    <w:basedOn w:val="Normal"/>
    <w:link w:val="BalloonTextChar"/>
    <w:uiPriority w:val="99"/>
    <w:semiHidden/>
    <w:unhideWhenUsed/>
    <w:rsid w:val="006E4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975"/>
    <w:rPr>
      <w:rFonts w:ascii="Tahoma" w:hAnsi="Tahoma" w:cs="Tahoma"/>
      <w:sz w:val="16"/>
      <w:szCs w:val="16"/>
    </w:rPr>
  </w:style>
  <w:style w:type="character" w:styleId="CommentReference">
    <w:name w:val="annotation reference"/>
    <w:basedOn w:val="DefaultParagraphFont"/>
    <w:uiPriority w:val="99"/>
    <w:semiHidden/>
    <w:unhideWhenUsed/>
    <w:rsid w:val="00A451D0"/>
    <w:rPr>
      <w:sz w:val="16"/>
      <w:szCs w:val="16"/>
    </w:rPr>
  </w:style>
  <w:style w:type="paragraph" w:styleId="CommentText">
    <w:name w:val="annotation text"/>
    <w:basedOn w:val="Normal"/>
    <w:link w:val="CommentTextChar"/>
    <w:uiPriority w:val="99"/>
    <w:unhideWhenUsed/>
    <w:rsid w:val="00A451D0"/>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A451D0"/>
    <w:rPr>
      <w:rFonts w:eastAsiaTheme="minorEastAsia"/>
      <w:sz w:val="20"/>
      <w:szCs w:val="20"/>
    </w:rPr>
  </w:style>
  <w:style w:type="character" w:styleId="Hyperlink">
    <w:name w:val="Hyperlink"/>
    <w:basedOn w:val="DefaultParagraphFont"/>
    <w:uiPriority w:val="99"/>
    <w:unhideWhenUsed/>
    <w:rsid w:val="00A451D0"/>
    <w:rPr>
      <w:color w:val="0000FF" w:themeColor="hyperlink"/>
      <w:u w:val="single"/>
    </w:rPr>
  </w:style>
  <w:style w:type="character" w:customStyle="1" w:styleId="ListParagraphChar">
    <w:name w:val="List Paragraph Char"/>
    <w:link w:val="ListParagraph"/>
    <w:uiPriority w:val="34"/>
    <w:locked/>
    <w:rsid w:val="00A451D0"/>
    <w:rPr>
      <w:rFonts w:eastAsiaTheme="minorEastAsia"/>
    </w:rPr>
  </w:style>
  <w:style w:type="paragraph" w:customStyle="1" w:styleId="CM14">
    <w:name w:val="CM14"/>
    <w:basedOn w:val="Normal"/>
    <w:next w:val="Normal"/>
    <w:uiPriority w:val="99"/>
    <w:rsid w:val="00A451D0"/>
    <w:pPr>
      <w:widowControl w:val="0"/>
      <w:autoSpaceDE w:val="0"/>
      <w:autoSpaceDN w:val="0"/>
      <w:adjustRightInd w:val="0"/>
      <w:spacing w:after="0" w:line="240" w:lineRule="auto"/>
    </w:pPr>
    <w:rPr>
      <w:rFonts w:ascii="JHHEL K+ S C. Pseudo. Font. 0" w:eastAsia="Times New Roman" w:hAnsi="JHHEL K+ S C. Pseudo. Font. 0"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olanhvienphi.bic@bidv.com.v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1270</Words>
  <Characters>7244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Gia Binh</dc:creator>
  <cp:lastModifiedBy>Dao Thi Mai. Phuong</cp:lastModifiedBy>
  <cp:revision>5</cp:revision>
  <cp:lastPrinted>2019-05-07T09:29:00Z</cp:lastPrinted>
  <dcterms:created xsi:type="dcterms:W3CDTF">2019-02-15T07:47:00Z</dcterms:created>
  <dcterms:modified xsi:type="dcterms:W3CDTF">2021-04-05T10:38:00Z</dcterms:modified>
</cp:coreProperties>
</file>