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4D" w:rsidRPr="00670810" w:rsidRDefault="00AE6C4D" w:rsidP="00AE6C4D">
      <w:pPr>
        <w:jc w:val="center"/>
        <w:rPr>
          <w:b/>
          <w:sz w:val="26"/>
          <w:szCs w:val="26"/>
        </w:rPr>
      </w:pPr>
      <w:bookmarkStart w:id="0" w:name="_GoBack"/>
      <w:bookmarkEnd w:id="0"/>
      <w:r w:rsidRPr="00670810">
        <w:rPr>
          <w:b/>
          <w:sz w:val="26"/>
          <w:szCs w:val="26"/>
        </w:rPr>
        <w:t>HƯỚNG DẪN THANH TOÁN</w:t>
      </w:r>
    </w:p>
    <w:p w:rsidR="00AE6C4D" w:rsidRPr="00670810" w:rsidRDefault="00AE6C4D" w:rsidP="00AE6C4D">
      <w:pPr>
        <w:jc w:val="center"/>
        <w:rPr>
          <w:b/>
          <w:sz w:val="26"/>
          <w:szCs w:val="26"/>
        </w:rPr>
      </w:pPr>
      <w:r w:rsidRPr="00670810">
        <w:rPr>
          <w:b/>
          <w:sz w:val="26"/>
          <w:szCs w:val="26"/>
        </w:rPr>
        <w:t>TIỀN MUA CCQ MỞ TRÊN BIDV SMARTBANKING</w:t>
      </w:r>
    </w:p>
    <w:p w:rsidR="00AE6C4D" w:rsidRPr="00670810" w:rsidRDefault="00AE6C4D" w:rsidP="00AE6C4D">
      <w:pPr>
        <w:spacing w:line="300" w:lineRule="auto"/>
        <w:ind w:firstLine="720"/>
        <w:jc w:val="both"/>
        <w:rPr>
          <w:sz w:val="26"/>
          <w:szCs w:val="26"/>
        </w:rPr>
      </w:pPr>
    </w:p>
    <w:p w:rsidR="00AE6C4D" w:rsidRPr="00670810" w:rsidRDefault="00AE6C4D" w:rsidP="00AE6C4D">
      <w:pPr>
        <w:spacing w:line="300" w:lineRule="auto"/>
        <w:ind w:firstLine="720"/>
        <w:jc w:val="both"/>
        <w:rPr>
          <w:sz w:val="26"/>
          <w:szCs w:val="26"/>
        </w:rPr>
      </w:pPr>
      <w:r w:rsidRPr="00670810">
        <w:rPr>
          <w:sz w:val="26"/>
          <w:szCs w:val="26"/>
        </w:rPr>
        <w:t>Các khách hàng đã cài đặt ứng dụng SmartBanking sau khi thực hiện đăng nhập vào ứng dụng sẽ thực hiện các thao tác sau:</w:t>
      </w:r>
    </w:p>
    <w:tbl>
      <w:tblPr>
        <w:tblStyle w:val="TableGrid"/>
        <w:tblW w:w="0" w:type="auto"/>
        <w:tblLayout w:type="fixed"/>
        <w:tblLook w:val="04A0" w:firstRow="1" w:lastRow="0" w:firstColumn="1" w:lastColumn="0" w:noHBand="0" w:noVBand="1"/>
      </w:tblPr>
      <w:tblGrid>
        <w:gridCol w:w="4928"/>
        <w:gridCol w:w="5047"/>
      </w:tblGrid>
      <w:tr w:rsidR="00AE6C4D" w:rsidRPr="00670810" w:rsidTr="002C742B">
        <w:tc>
          <w:tcPr>
            <w:tcW w:w="4928" w:type="dxa"/>
          </w:tcPr>
          <w:p w:rsidR="00AE6C4D" w:rsidRPr="00670810" w:rsidRDefault="00AE6C4D" w:rsidP="002C742B">
            <w:pPr>
              <w:spacing w:line="300" w:lineRule="auto"/>
              <w:jc w:val="both"/>
              <w:rPr>
                <w:b/>
                <w:sz w:val="26"/>
                <w:szCs w:val="26"/>
              </w:rPr>
            </w:pPr>
            <w:r w:rsidRPr="00670810">
              <w:rPr>
                <w:b/>
                <w:sz w:val="26"/>
                <w:szCs w:val="26"/>
              </w:rPr>
              <w:t>Bước 1: Từ màn hình giao diện, NĐT lựa chọn mục “Thanh toán”</w:t>
            </w:r>
          </w:p>
        </w:tc>
        <w:tc>
          <w:tcPr>
            <w:tcW w:w="5047" w:type="dxa"/>
          </w:tcPr>
          <w:p w:rsidR="00AE6C4D" w:rsidRPr="00670810" w:rsidRDefault="00AE6C4D" w:rsidP="002C742B">
            <w:pPr>
              <w:spacing w:line="300" w:lineRule="auto"/>
              <w:jc w:val="both"/>
              <w:rPr>
                <w:b/>
                <w:sz w:val="26"/>
                <w:szCs w:val="26"/>
              </w:rPr>
            </w:pPr>
            <w:r w:rsidRPr="00670810">
              <w:rPr>
                <w:b/>
                <w:sz w:val="26"/>
                <w:szCs w:val="26"/>
              </w:rPr>
              <w:t>Bước 2: Từ mục “Thanh toán” nhà đầu tư lựa chọn mục “Mua chứng chỉ quỹ mở”</w:t>
            </w:r>
          </w:p>
        </w:tc>
      </w:tr>
      <w:tr w:rsidR="00AE6C4D" w:rsidRPr="00670810" w:rsidTr="002C742B">
        <w:tc>
          <w:tcPr>
            <w:tcW w:w="4928" w:type="dxa"/>
          </w:tcPr>
          <w:p w:rsidR="00AE6C4D" w:rsidRPr="00670810" w:rsidRDefault="00AE6C4D" w:rsidP="002C742B">
            <w:pPr>
              <w:spacing w:line="300" w:lineRule="auto"/>
              <w:jc w:val="both"/>
              <w:rPr>
                <w:sz w:val="26"/>
                <w:szCs w:val="26"/>
              </w:rPr>
            </w:pPr>
            <w:r w:rsidRPr="00670810">
              <w:rPr>
                <w:noProof/>
                <w:color w:val="FF0000"/>
                <w:sz w:val="26"/>
                <w:szCs w:val="26"/>
                <w:lang w:val="vi-VN" w:eastAsia="vi-VN"/>
              </w:rPr>
              <w:drawing>
                <wp:inline distT="0" distB="0" distL="0" distR="0" wp14:anchorId="6BE7B4A3" wp14:editId="3309C14F">
                  <wp:extent cx="2814452" cy="4750130"/>
                  <wp:effectExtent l="0" t="0" r="5080" b="0"/>
                  <wp:docPr id="4" name="Picture 4" descr="C:\Users\hoangdv\Desktop\NOP TIEN CCQ\Screenshot_20200310-204650_SmartBa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ngdv\Desktop\NOP TIEN CCQ\Screenshot_20200310-204650_SmartBank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7575" cy="4755401"/>
                          </a:xfrm>
                          <a:prstGeom prst="rect">
                            <a:avLst/>
                          </a:prstGeom>
                          <a:noFill/>
                          <a:ln>
                            <a:noFill/>
                          </a:ln>
                        </pic:spPr>
                      </pic:pic>
                    </a:graphicData>
                  </a:graphic>
                </wp:inline>
              </w:drawing>
            </w:r>
          </w:p>
        </w:tc>
        <w:tc>
          <w:tcPr>
            <w:tcW w:w="5047" w:type="dxa"/>
          </w:tcPr>
          <w:p w:rsidR="00AE6C4D" w:rsidRPr="00670810" w:rsidRDefault="00AE6C4D" w:rsidP="002C742B">
            <w:pPr>
              <w:spacing w:line="300" w:lineRule="auto"/>
              <w:jc w:val="both"/>
              <w:rPr>
                <w:sz w:val="26"/>
                <w:szCs w:val="26"/>
              </w:rPr>
            </w:pPr>
            <w:r w:rsidRPr="00670810">
              <w:rPr>
                <w:noProof/>
                <w:sz w:val="26"/>
                <w:szCs w:val="26"/>
                <w:lang w:val="vi-VN" w:eastAsia="vi-VN"/>
              </w:rPr>
              <w:drawing>
                <wp:inline distT="0" distB="0" distL="0" distR="0" wp14:anchorId="60D80A64" wp14:editId="5B138F18">
                  <wp:extent cx="3040083" cy="4750130"/>
                  <wp:effectExtent l="0" t="0" r="8255" b="0"/>
                  <wp:docPr id="5" name="Picture 5" descr="C:\Users\hoangdv\Desktop\NOP TIEN CCQ\Screenshot_20200304-161359_SmartBa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angdv\Desktop\NOP TIEN CCQ\Screenshot_20200304-161359_SmartBank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684" cy="4755756"/>
                          </a:xfrm>
                          <a:prstGeom prst="rect">
                            <a:avLst/>
                          </a:prstGeom>
                          <a:noFill/>
                          <a:ln>
                            <a:noFill/>
                          </a:ln>
                        </pic:spPr>
                      </pic:pic>
                    </a:graphicData>
                  </a:graphic>
                </wp:inline>
              </w:drawing>
            </w:r>
          </w:p>
        </w:tc>
      </w:tr>
      <w:tr w:rsidR="00AE6C4D" w:rsidRPr="00670810" w:rsidTr="002C742B">
        <w:tc>
          <w:tcPr>
            <w:tcW w:w="9975" w:type="dxa"/>
            <w:gridSpan w:val="2"/>
          </w:tcPr>
          <w:p w:rsidR="00AE6C4D" w:rsidRPr="00670810" w:rsidRDefault="00AE6C4D" w:rsidP="002C742B">
            <w:pPr>
              <w:spacing w:line="300" w:lineRule="auto"/>
              <w:jc w:val="both"/>
              <w:rPr>
                <w:b/>
                <w:sz w:val="26"/>
                <w:szCs w:val="26"/>
              </w:rPr>
            </w:pPr>
            <w:r w:rsidRPr="00670810">
              <w:rPr>
                <w:b/>
                <w:sz w:val="26"/>
                <w:szCs w:val="26"/>
              </w:rPr>
              <w:t>Bước 3: Sau khi chọn Mục “Mua chứng chỉ quỹ mở”, nhà đầu tư sẽ thực hiện khai báo thông tin</w:t>
            </w:r>
          </w:p>
        </w:tc>
      </w:tr>
      <w:tr w:rsidR="00AE6C4D" w:rsidRPr="00670810" w:rsidTr="002C742B">
        <w:tc>
          <w:tcPr>
            <w:tcW w:w="4928" w:type="dxa"/>
          </w:tcPr>
          <w:p w:rsidR="00AE6C4D" w:rsidRPr="00670810" w:rsidRDefault="00AE6C4D" w:rsidP="002C742B">
            <w:pPr>
              <w:spacing w:line="300" w:lineRule="auto"/>
              <w:jc w:val="both"/>
              <w:rPr>
                <w:sz w:val="26"/>
                <w:szCs w:val="26"/>
              </w:rPr>
            </w:pPr>
            <w:r w:rsidRPr="00670810">
              <w:rPr>
                <w:noProof/>
                <w:sz w:val="26"/>
                <w:szCs w:val="26"/>
                <w:lang w:val="vi-VN" w:eastAsia="vi-VN"/>
              </w:rPr>
              <w:lastRenderedPageBreak/>
              <w:drawing>
                <wp:inline distT="0" distB="0" distL="0" distR="0" wp14:anchorId="1D17C230" wp14:editId="338163B6">
                  <wp:extent cx="3040083" cy="5035138"/>
                  <wp:effectExtent l="0" t="0" r="8255" b="0"/>
                  <wp:docPr id="7" name="Picture 7" descr="C:\Users\hoangdv\Desktop\NOP TIEN CCQ\Screenshot_20200310-204719_SmartBan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angdv\Desktop\NOP TIEN CCQ\Screenshot_20200310-204719_SmartBank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210" cy="5035348"/>
                          </a:xfrm>
                          <a:prstGeom prst="rect">
                            <a:avLst/>
                          </a:prstGeom>
                          <a:noFill/>
                          <a:ln>
                            <a:noFill/>
                          </a:ln>
                        </pic:spPr>
                      </pic:pic>
                    </a:graphicData>
                  </a:graphic>
                </wp:inline>
              </w:drawing>
            </w:r>
          </w:p>
        </w:tc>
        <w:tc>
          <w:tcPr>
            <w:tcW w:w="5047" w:type="dxa"/>
          </w:tcPr>
          <w:p w:rsidR="00AE6C4D" w:rsidRPr="00670810" w:rsidRDefault="00AE6C4D" w:rsidP="002C742B">
            <w:pPr>
              <w:spacing w:line="300" w:lineRule="auto"/>
              <w:jc w:val="both"/>
              <w:rPr>
                <w:sz w:val="26"/>
                <w:szCs w:val="26"/>
              </w:rPr>
            </w:pPr>
            <w:r w:rsidRPr="00670810">
              <w:rPr>
                <w:sz w:val="26"/>
                <w:szCs w:val="26"/>
              </w:rPr>
              <w:t>Trong đó lưu ý:</w:t>
            </w:r>
          </w:p>
          <w:p w:rsidR="00AE6C4D" w:rsidRPr="00670810" w:rsidRDefault="00AE6C4D" w:rsidP="00AE6C4D">
            <w:pPr>
              <w:pStyle w:val="ListParagraph"/>
              <w:numPr>
                <w:ilvl w:val="0"/>
                <w:numId w:val="1"/>
              </w:numPr>
              <w:spacing w:line="300" w:lineRule="auto"/>
              <w:ind w:left="459" w:hanging="425"/>
              <w:jc w:val="both"/>
              <w:rPr>
                <w:sz w:val="26"/>
                <w:szCs w:val="26"/>
              </w:rPr>
            </w:pPr>
            <w:r w:rsidRPr="00670810">
              <w:rPr>
                <w:sz w:val="26"/>
                <w:szCs w:val="26"/>
              </w:rPr>
              <w:t>Nhà Cung cấp: NĐT chọn Quỹ đầu tư phù hợp</w:t>
            </w:r>
          </w:p>
          <w:p w:rsidR="00AE6C4D" w:rsidRPr="00670810" w:rsidRDefault="00AE6C4D" w:rsidP="00AE6C4D">
            <w:pPr>
              <w:pStyle w:val="ListParagraph"/>
              <w:numPr>
                <w:ilvl w:val="0"/>
                <w:numId w:val="1"/>
              </w:numPr>
              <w:spacing w:line="300" w:lineRule="auto"/>
              <w:ind w:left="459" w:hanging="425"/>
              <w:jc w:val="both"/>
              <w:rPr>
                <w:sz w:val="26"/>
                <w:szCs w:val="26"/>
              </w:rPr>
            </w:pPr>
            <w:r w:rsidRPr="00670810">
              <w:rPr>
                <w:sz w:val="26"/>
                <w:szCs w:val="26"/>
              </w:rPr>
              <w:t>Dịch vụ: Nhà đầu tư lựa chọn Đại lý phân phối phù hợp</w:t>
            </w:r>
          </w:p>
          <w:p w:rsidR="00AE6C4D" w:rsidRPr="00670810" w:rsidRDefault="00AE6C4D" w:rsidP="00AE6C4D">
            <w:pPr>
              <w:pStyle w:val="ListParagraph"/>
              <w:numPr>
                <w:ilvl w:val="0"/>
                <w:numId w:val="1"/>
              </w:numPr>
              <w:spacing w:line="300" w:lineRule="auto"/>
              <w:ind w:left="459" w:hanging="425"/>
              <w:jc w:val="both"/>
              <w:rPr>
                <w:sz w:val="26"/>
                <w:szCs w:val="26"/>
              </w:rPr>
            </w:pPr>
            <w:r w:rsidRPr="00670810">
              <w:rPr>
                <w:sz w:val="26"/>
                <w:szCs w:val="26"/>
              </w:rPr>
              <w:t>Số TK: NĐT khai báo số TKGD CCQ của mình do ĐLPP mở</w:t>
            </w:r>
          </w:p>
          <w:p w:rsidR="00AE6C4D" w:rsidRPr="00670810" w:rsidRDefault="00AE6C4D" w:rsidP="00AE6C4D">
            <w:pPr>
              <w:pStyle w:val="ListParagraph"/>
              <w:numPr>
                <w:ilvl w:val="0"/>
                <w:numId w:val="1"/>
              </w:numPr>
              <w:spacing w:line="300" w:lineRule="auto"/>
              <w:ind w:left="459" w:hanging="425"/>
              <w:jc w:val="both"/>
              <w:rPr>
                <w:sz w:val="26"/>
                <w:szCs w:val="26"/>
              </w:rPr>
            </w:pPr>
            <w:r w:rsidRPr="00670810">
              <w:rPr>
                <w:sz w:val="26"/>
                <w:szCs w:val="26"/>
              </w:rPr>
              <w:t>Tên khách hàng: Tên nhà đầu tư</w:t>
            </w:r>
          </w:p>
          <w:p w:rsidR="00AE6C4D" w:rsidRPr="00670810" w:rsidRDefault="00AE6C4D" w:rsidP="00AE6C4D">
            <w:pPr>
              <w:pStyle w:val="ListParagraph"/>
              <w:numPr>
                <w:ilvl w:val="0"/>
                <w:numId w:val="1"/>
              </w:numPr>
              <w:spacing w:line="300" w:lineRule="auto"/>
              <w:ind w:left="459" w:hanging="425"/>
              <w:jc w:val="both"/>
              <w:rPr>
                <w:sz w:val="26"/>
                <w:szCs w:val="26"/>
              </w:rPr>
            </w:pPr>
            <w:r w:rsidRPr="00670810">
              <w:rPr>
                <w:sz w:val="26"/>
                <w:szCs w:val="26"/>
              </w:rPr>
              <w:t>Địa chỉ: NĐT khai báo địa chỉ liên hệ</w:t>
            </w:r>
          </w:p>
          <w:p w:rsidR="00AE6C4D" w:rsidRPr="00670810" w:rsidRDefault="00AE6C4D" w:rsidP="00AE6C4D">
            <w:pPr>
              <w:pStyle w:val="ListParagraph"/>
              <w:numPr>
                <w:ilvl w:val="0"/>
                <w:numId w:val="1"/>
              </w:numPr>
              <w:spacing w:line="300" w:lineRule="auto"/>
              <w:ind w:left="459" w:hanging="425"/>
              <w:jc w:val="both"/>
              <w:rPr>
                <w:sz w:val="26"/>
                <w:szCs w:val="26"/>
              </w:rPr>
            </w:pPr>
            <w:r w:rsidRPr="00670810">
              <w:rPr>
                <w:sz w:val="26"/>
                <w:szCs w:val="26"/>
              </w:rPr>
              <w:t>Thông tin bổ sung: NĐT khai báo các thông tin cần thiết, tại đây NĐT không cần gõ tên và TKGD nữa</w:t>
            </w:r>
          </w:p>
          <w:p w:rsidR="00AE6C4D" w:rsidRPr="00670810" w:rsidRDefault="00AE6C4D" w:rsidP="00AE6C4D">
            <w:pPr>
              <w:pStyle w:val="ListParagraph"/>
              <w:numPr>
                <w:ilvl w:val="0"/>
                <w:numId w:val="1"/>
              </w:numPr>
              <w:spacing w:line="300" w:lineRule="auto"/>
              <w:ind w:left="459" w:hanging="425"/>
              <w:jc w:val="both"/>
              <w:rPr>
                <w:sz w:val="26"/>
                <w:szCs w:val="26"/>
              </w:rPr>
            </w:pPr>
            <w:r w:rsidRPr="00670810">
              <w:rPr>
                <w:sz w:val="26"/>
                <w:szCs w:val="26"/>
              </w:rPr>
              <w:t>Số tiền: Là đố tiền đặt mua tương ứng</w:t>
            </w:r>
          </w:p>
        </w:tc>
      </w:tr>
      <w:tr w:rsidR="00AE6C4D" w:rsidRPr="00670810" w:rsidTr="002C742B">
        <w:tc>
          <w:tcPr>
            <w:tcW w:w="9975" w:type="dxa"/>
            <w:gridSpan w:val="2"/>
          </w:tcPr>
          <w:p w:rsidR="00AE6C4D" w:rsidRPr="00670810" w:rsidRDefault="00AE6C4D" w:rsidP="002C742B">
            <w:pPr>
              <w:spacing w:line="300" w:lineRule="auto"/>
              <w:jc w:val="both"/>
              <w:rPr>
                <w:b/>
                <w:sz w:val="26"/>
                <w:szCs w:val="26"/>
              </w:rPr>
            </w:pPr>
            <w:r w:rsidRPr="00670810">
              <w:rPr>
                <w:b/>
                <w:sz w:val="26"/>
                <w:szCs w:val="26"/>
              </w:rPr>
              <w:t>Bước 4: Nhà đầu tư thực hiện các bước tiếp theo, xác thực mã OTP để hoàn tất giao dịch</w:t>
            </w:r>
          </w:p>
          <w:p w:rsidR="00AE6C4D" w:rsidRPr="00670810" w:rsidRDefault="00AE6C4D" w:rsidP="002C742B">
            <w:pPr>
              <w:spacing w:line="300" w:lineRule="auto"/>
              <w:jc w:val="both"/>
              <w:rPr>
                <w:sz w:val="26"/>
                <w:szCs w:val="26"/>
              </w:rPr>
            </w:pPr>
            <w:r w:rsidRPr="00670810">
              <w:rPr>
                <w:sz w:val="26"/>
                <w:szCs w:val="26"/>
              </w:rPr>
              <w:t>Hệ thống cho phép NDT lưu mẫu thanh toán để sử dụng cho các lần sau, trường hợp nhà đầu tư đã lưu Mẫu thanh toán, nhà đầu tư thực hiện như sau: Từ ứng dụng SmartBanking nhà đầu tư lựa chọn mục “Danh bạ &amp; Mẫu TT”, tiếp tục lựa chọn Mục “Mẫu thanh toán”, tại đây NĐT có thể thực hiện sửa mẫu thanh toán (ví dụ thay đổi số tiền) và chọn “Thực hiện giao dịch” để tiếp thục thanh toán theo hướng dẫn</w:t>
            </w:r>
          </w:p>
          <w:p w:rsidR="00AE6C4D" w:rsidRPr="00670810" w:rsidRDefault="00AE6C4D" w:rsidP="002C742B">
            <w:pPr>
              <w:spacing w:line="300" w:lineRule="auto"/>
              <w:jc w:val="both"/>
              <w:rPr>
                <w:sz w:val="26"/>
                <w:szCs w:val="26"/>
              </w:rPr>
            </w:pPr>
          </w:p>
        </w:tc>
      </w:tr>
    </w:tbl>
    <w:p w:rsidR="00AE6C4D" w:rsidRPr="00670810" w:rsidRDefault="00AE6C4D" w:rsidP="00AE6C4D">
      <w:pPr>
        <w:spacing w:line="300" w:lineRule="auto"/>
        <w:ind w:firstLine="720"/>
        <w:jc w:val="both"/>
        <w:rPr>
          <w:sz w:val="26"/>
          <w:szCs w:val="26"/>
        </w:rPr>
      </w:pPr>
    </w:p>
    <w:p w:rsidR="006667B8" w:rsidRDefault="00AE6C4D"/>
    <w:sectPr w:rsidR="006667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437"/>
    <w:multiLevelType w:val="hybridMultilevel"/>
    <w:tmpl w:val="FEE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4D"/>
    <w:rsid w:val="00825883"/>
    <w:rsid w:val="00915A85"/>
    <w:rsid w:val="00AE6C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4D"/>
    <w:pPr>
      <w:ind w:left="720"/>
      <w:contextualSpacing/>
    </w:pPr>
  </w:style>
  <w:style w:type="table" w:styleId="TableGrid">
    <w:name w:val="Table Grid"/>
    <w:basedOn w:val="TableNormal"/>
    <w:uiPriority w:val="59"/>
    <w:rsid w:val="00AE6C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C4D"/>
    <w:rPr>
      <w:rFonts w:ascii="Tahoma" w:hAnsi="Tahoma" w:cs="Tahoma"/>
      <w:sz w:val="16"/>
      <w:szCs w:val="16"/>
    </w:rPr>
  </w:style>
  <w:style w:type="character" w:customStyle="1" w:styleId="BalloonTextChar">
    <w:name w:val="Balloon Text Char"/>
    <w:basedOn w:val="DefaultParagraphFont"/>
    <w:link w:val="BalloonText"/>
    <w:uiPriority w:val="99"/>
    <w:semiHidden/>
    <w:rsid w:val="00AE6C4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C4D"/>
    <w:pPr>
      <w:ind w:left="720"/>
      <w:contextualSpacing/>
    </w:pPr>
  </w:style>
  <w:style w:type="table" w:styleId="TableGrid">
    <w:name w:val="Table Grid"/>
    <w:basedOn w:val="TableNormal"/>
    <w:uiPriority w:val="59"/>
    <w:rsid w:val="00AE6C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C4D"/>
    <w:rPr>
      <w:rFonts w:ascii="Tahoma" w:hAnsi="Tahoma" w:cs="Tahoma"/>
      <w:sz w:val="16"/>
      <w:szCs w:val="16"/>
    </w:rPr>
  </w:style>
  <w:style w:type="character" w:customStyle="1" w:styleId="BalloonTextChar">
    <w:name w:val="Balloon Text Char"/>
    <w:basedOn w:val="DefaultParagraphFont"/>
    <w:link w:val="BalloonText"/>
    <w:uiPriority w:val="99"/>
    <w:semiHidden/>
    <w:rsid w:val="00AE6C4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tam MXH</dc:creator>
  <cp:lastModifiedBy>Trung tam MXH</cp:lastModifiedBy>
  <cp:revision>1</cp:revision>
  <dcterms:created xsi:type="dcterms:W3CDTF">2020-03-23T10:56:00Z</dcterms:created>
  <dcterms:modified xsi:type="dcterms:W3CDTF">2020-03-23T10:56:00Z</dcterms:modified>
</cp:coreProperties>
</file>