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39" w:type="pct"/>
        <w:tblInd w:w="-601" w:type="dxa"/>
        <w:tblLayout w:type="fixed"/>
        <w:tblLook w:val="0000" w:firstRow="0" w:lastRow="0" w:firstColumn="0" w:lastColumn="0" w:noHBand="0" w:noVBand="0"/>
      </w:tblPr>
      <w:tblGrid>
        <w:gridCol w:w="971"/>
        <w:gridCol w:w="4017"/>
        <w:gridCol w:w="5126"/>
      </w:tblGrid>
      <w:tr w:rsidR="001925C6" w:rsidRPr="00CD0B6B" w:rsidTr="003E040A">
        <w:tc>
          <w:tcPr>
            <w:tcW w:w="480" w:type="pct"/>
          </w:tcPr>
          <w:p w:rsidR="001925C6" w:rsidRPr="00CD0B6B" w:rsidRDefault="003E040A" w:rsidP="00F504C3">
            <w:pPr>
              <w:spacing w:after="0" w:line="240" w:lineRule="auto"/>
              <w:ind w:left="-57"/>
              <w:jc w:val="center"/>
              <w:rPr>
                <w:szCs w:val="28"/>
                <w:lang w:val="vi-VN"/>
              </w:rPr>
            </w:pPr>
            <w:r>
              <w:rPr>
                <w:noProof/>
                <w:szCs w:val="28"/>
              </w:rPr>
              <w:drawing>
                <wp:anchor distT="0" distB="0" distL="114300" distR="114300" simplePos="0" relativeHeight="251663872" behindDoc="0" locked="0" layoutInCell="1" allowOverlap="1">
                  <wp:simplePos x="0" y="0"/>
                  <wp:positionH relativeFrom="column">
                    <wp:posOffset>-283845</wp:posOffset>
                  </wp:positionH>
                  <wp:positionV relativeFrom="paragraph">
                    <wp:posOffset>635</wp:posOffset>
                  </wp:positionV>
                  <wp:extent cx="1066800" cy="313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313690"/>
                          </a:xfrm>
                          <a:prstGeom prst="rect">
                            <a:avLst/>
                          </a:prstGeom>
                          <a:noFill/>
                          <a:ln>
                            <a:noFill/>
                          </a:ln>
                        </pic:spPr>
                      </pic:pic>
                    </a:graphicData>
                  </a:graphic>
                </wp:anchor>
              </w:drawing>
            </w:r>
          </w:p>
        </w:tc>
        <w:tc>
          <w:tcPr>
            <w:tcW w:w="1986" w:type="pct"/>
          </w:tcPr>
          <w:p w:rsidR="001925C6" w:rsidRPr="00CD0B6B" w:rsidRDefault="001925C6" w:rsidP="00F504C3">
            <w:pPr>
              <w:spacing w:after="0" w:line="240" w:lineRule="auto"/>
              <w:jc w:val="center"/>
              <w:rPr>
                <w:b/>
                <w:bCs/>
                <w:sz w:val="24"/>
                <w:szCs w:val="24"/>
                <w:lang w:val="vi-VN"/>
              </w:rPr>
            </w:pPr>
            <w:r w:rsidRPr="00CD0B6B">
              <w:rPr>
                <w:b/>
                <w:bCs/>
                <w:sz w:val="24"/>
                <w:szCs w:val="24"/>
                <w:lang w:val="vi-VN"/>
              </w:rPr>
              <w:t>NGÂN HÀNG TMCP ĐẦU TƯ</w:t>
            </w:r>
          </w:p>
          <w:p w:rsidR="001925C6" w:rsidRPr="00CD0B6B" w:rsidRDefault="001925C6" w:rsidP="00F504C3">
            <w:pPr>
              <w:spacing w:after="0" w:line="240" w:lineRule="auto"/>
              <w:jc w:val="center"/>
              <w:rPr>
                <w:b/>
                <w:bCs/>
                <w:sz w:val="24"/>
                <w:szCs w:val="24"/>
                <w:lang w:val="vi-VN"/>
              </w:rPr>
            </w:pPr>
            <w:r w:rsidRPr="00CD0B6B">
              <w:rPr>
                <w:b/>
                <w:bCs/>
                <w:sz w:val="24"/>
                <w:szCs w:val="24"/>
                <w:lang w:val="vi-VN"/>
              </w:rPr>
              <w:t>VÀ PHÁT TRIỂN VIỆT NAM</w:t>
            </w:r>
          </w:p>
          <w:p w:rsidR="001925C6" w:rsidRPr="001D5C3B" w:rsidRDefault="001925C6" w:rsidP="00F504C3">
            <w:pPr>
              <w:spacing w:after="0" w:line="240" w:lineRule="auto"/>
              <w:jc w:val="center"/>
              <w:rPr>
                <w:b/>
                <w:bCs/>
                <w:sz w:val="24"/>
                <w:szCs w:val="24"/>
              </w:rPr>
            </w:pPr>
            <w:r w:rsidRPr="00CD0B6B">
              <w:rPr>
                <w:b/>
                <w:bCs/>
                <w:sz w:val="24"/>
                <w:szCs w:val="24"/>
                <w:lang w:val="vi-VN"/>
              </w:rPr>
              <w:t xml:space="preserve">CHI NHÁNH </w:t>
            </w:r>
            <w:r w:rsidR="001D5C3B">
              <w:rPr>
                <w:b/>
                <w:bCs/>
                <w:sz w:val="24"/>
                <w:szCs w:val="24"/>
              </w:rPr>
              <w:t>BẾN NGHÉ</w:t>
            </w:r>
          </w:p>
          <w:p w:rsidR="001925C6" w:rsidRPr="001D5C3B" w:rsidRDefault="00573478" w:rsidP="00F504C3">
            <w:pPr>
              <w:spacing w:before="240" w:after="0" w:line="240" w:lineRule="auto"/>
              <w:jc w:val="center"/>
              <w:rPr>
                <w:i/>
                <w:sz w:val="24"/>
                <w:szCs w:val="24"/>
              </w:rPr>
            </w:pPr>
            <w:r>
              <w:rPr>
                <w:noProof/>
                <w:sz w:val="24"/>
                <w:szCs w:val="24"/>
              </w:rPr>
              <mc:AlternateContent>
                <mc:Choice Requires="wps">
                  <w:drawing>
                    <wp:anchor distT="4294967294" distB="4294967294" distL="114300" distR="114300" simplePos="0" relativeHeight="251654656" behindDoc="0" locked="0" layoutInCell="1" allowOverlap="1">
                      <wp:simplePos x="0" y="0"/>
                      <wp:positionH relativeFrom="column">
                        <wp:posOffset>685800</wp:posOffset>
                      </wp:positionH>
                      <wp:positionV relativeFrom="paragraph">
                        <wp:posOffset>27304</wp:posOffset>
                      </wp:positionV>
                      <wp:extent cx="1120775" cy="0"/>
                      <wp:effectExtent l="0" t="0" r="317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9907" id="Straight Connector 1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15pt" to="14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eQ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lk/TpaYoR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"/>
                  </w:pict>
                </mc:Fallback>
              </mc:AlternateContent>
            </w:r>
            <w:r w:rsidR="001925C6" w:rsidRPr="00CD0B6B">
              <w:rPr>
                <w:sz w:val="26"/>
                <w:szCs w:val="28"/>
                <w:lang w:val="vi-VN"/>
              </w:rPr>
              <w:t xml:space="preserve">Số: </w:t>
            </w:r>
            <w:r w:rsidR="001D5C3B">
              <w:rPr>
                <w:sz w:val="26"/>
                <w:szCs w:val="28"/>
              </w:rPr>
              <w:t>..</w:t>
            </w:r>
            <w:r w:rsidR="001D5C3B">
              <w:rPr>
                <w:sz w:val="26"/>
                <w:szCs w:val="28"/>
                <w:lang w:val="vi-VN"/>
              </w:rPr>
              <w:t>…/</w:t>
            </w:r>
            <w:r w:rsidR="001D5C3B">
              <w:rPr>
                <w:sz w:val="26"/>
                <w:szCs w:val="28"/>
              </w:rPr>
              <w:t>BIDV.BNE-QLRR</w:t>
            </w:r>
          </w:p>
        </w:tc>
        <w:tc>
          <w:tcPr>
            <w:tcW w:w="2534" w:type="pct"/>
          </w:tcPr>
          <w:p w:rsidR="001925C6" w:rsidRPr="00CD0B6B" w:rsidRDefault="001925C6" w:rsidP="0064507E">
            <w:pPr>
              <w:keepNext/>
              <w:spacing w:after="0" w:line="240" w:lineRule="auto"/>
              <w:ind w:left="-108" w:right="34"/>
              <w:jc w:val="center"/>
              <w:outlineLvl w:val="3"/>
              <w:rPr>
                <w:b/>
                <w:bCs/>
                <w:sz w:val="24"/>
                <w:szCs w:val="24"/>
                <w:lang w:val="vi-VN"/>
              </w:rPr>
            </w:pPr>
            <w:r w:rsidRPr="00CD0B6B">
              <w:rPr>
                <w:b/>
                <w:bCs/>
                <w:sz w:val="24"/>
                <w:szCs w:val="24"/>
                <w:lang w:val="vi-VN"/>
              </w:rPr>
              <w:t>CỘNG H</w:t>
            </w:r>
            <w:r w:rsidR="00A174FD" w:rsidRPr="00CD0B6B">
              <w:rPr>
                <w:b/>
                <w:bCs/>
                <w:sz w:val="24"/>
                <w:szCs w:val="24"/>
                <w:lang w:val="vi-VN"/>
              </w:rPr>
              <w:t>ÒA</w:t>
            </w:r>
            <w:r w:rsidRPr="00CD0B6B">
              <w:rPr>
                <w:b/>
                <w:bCs/>
                <w:sz w:val="24"/>
                <w:szCs w:val="24"/>
                <w:lang w:val="vi-VN"/>
              </w:rPr>
              <w:t xml:space="preserve"> XÃ HỘI CHỦ NGHĨA VIỆT NAM</w:t>
            </w:r>
          </w:p>
          <w:p w:rsidR="001925C6" w:rsidRPr="00CD0B6B" w:rsidRDefault="001925C6" w:rsidP="0064507E">
            <w:pPr>
              <w:spacing w:after="0" w:line="240" w:lineRule="auto"/>
              <w:ind w:left="36" w:right="34"/>
              <w:jc w:val="center"/>
              <w:rPr>
                <w:b/>
                <w:sz w:val="26"/>
                <w:szCs w:val="26"/>
                <w:lang w:val="vi-VN"/>
              </w:rPr>
            </w:pPr>
            <w:r w:rsidRPr="00CD0B6B">
              <w:rPr>
                <w:b/>
                <w:sz w:val="26"/>
                <w:szCs w:val="26"/>
                <w:lang w:val="vi-VN"/>
              </w:rPr>
              <w:t>Độc lập - Tự do - Hạnh phúc</w:t>
            </w:r>
          </w:p>
          <w:p w:rsidR="001925C6" w:rsidRPr="00CD0B6B" w:rsidRDefault="00573478" w:rsidP="0064507E">
            <w:pPr>
              <w:spacing w:before="480" w:after="0" w:line="240" w:lineRule="auto"/>
              <w:ind w:right="34"/>
              <w:jc w:val="center"/>
              <w:rPr>
                <w:i/>
                <w:szCs w:val="28"/>
                <w:lang w:val="vi-VN"/>
              </w:rPr>
            </w:pPr>
            <w:r>
              <w:rPr>
                <w:noProof/>
                <w:sz w:val="24"/>
                <w:szCs w:val="24"/>
              </w:rPr>
              <mc:AlternateContent>
                <mc:Choice Requires="wps">
                  <w:drawing>
                    <wp:anchor distT="4294967294" distB="4294967294" distL="114300" distR="114300" simplePos="0" relativeHeight="251658752" behindDoc="0" locked="0" layoutInCell="1" allowOverlap="1">
                      <wp:simplePos x="0" y="0"/>
                      <wp:positionH relativeFrom="column">
                        <wp:posOffset>589915</wp:posOffset>
                      </wp:positionH>
                      <wp:positionV relativeFrom="paragraph">
                        <wp:posOffset>16509</wp:posOffset>
                      </wp:positionV>
                      <wp:extent cx="19812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4927" id="Straight Connector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45pt,1.3pt" to="20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"/>
                  </w:pict>
                </mc:Fallback>
              </mc:AlternateContent>
            </w:r>
            <w:r w:rsidR="00527DD1">
              <w:rPr>
                <w:i/>
                <w:iCs/>
                <w:sz w:val="26"/>
                <w:szCs w:val="28"/>
              </w:rPr>
              <w:t>TP</w:t>
            </w:r>
            <w:r w:rsidR="00AE1D15">
              <w:rPr>
                <w:i/>
                <w:iCs/>
                <w:sz w:val="26"/>
                <w:szCs w:val="28"/>
              </w:rPr>
              <w:t>.</w:t>
            </w:r>
            <w:r w:rsidR="00527DD1">
              <w:rPr>
                <w:i/>
                <w:iCs/>
                <w:sz w:val="26"/>
                <w:szCs w:val="28"/>
              </w:rPr>
              <w:t>HCM</w:t>
            </w:r>
            <w:r w:rsidR="001925C6" w:rsidRPr="00CD0B6B">
              <w:rPr>
                <w:i/>
                <w:iCs/>
                <w:sz w:val="26"/>
                <w:szCs w:val="28"/>
                <w:lang w:val="vi-VN"/>
              </w:rPr>
              <w:t xml:space="preserve">,  </w:t>
            </w:r>
            <w:r w:rsidR="001925C6" w:rsidRPr="00CD0B6B">
              <w:rPr>
                <w:i/>
                <w:sz w:val="26"/>
                <w:szCs w:val="28"/>
                <w:lang w:val="vi-VN"/>
              </w:rPr>
              <w:t>ngày … tháng … năm …</w:t>
            </w:r>
          </w:p>
        </w:tc>
      </w:tr>
    </w:tbl>
    <w:p w:rsidR="001925C6" w:rsidRPr="00CD0B6B" w:rsidRDefault="001925C6" w:rsidP="001925C6">
      <w:pPr>
        <w:widowControl w:val="0"/>
        <w:spacing w:after="0" w:line="240" w:lineRule="auto"/>
        <w:jc w:val="center"/>
        <w:rPr>
          <w:b/>
          <w:sz w:val="26"/>
          <w:szCs w:val="28"/>
          <w:lang w:val="vi-VN"/>
        </w:rPr>
      </w:pPr>
    </w:p>
    <w:p w:rsidR="001925C6" w:rsidRPr="00527DD1" w:rsidRDefault="001925C6" w:rsidP="001925C6">
      <w:pPr>
        <w:widowControl w:val="0"/>
        <w:spacing w:after="0" w:line="240" w:lineRule="auto"/>
        <w:jc w:val="center"/>
        <w:rPr>
          <w:b/>
          <w:sz w:val="36"/>
          <w:szCs w:val="36"/>
          <w:lang w:val="vi-VN"/>
        </w:rPr>
      </w:pPr>
      <w:r w:rsidRPr="00527DD1">
        <w:rPr>
          <w:b/>
          <w:sz w:val="36"/>
          <w:szCs w:val="36"/>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 xml:space="preserve">(V/v: Lựa chọn tổ chức đấu giá </w:t>
      </w:r>
      <w:r w:rsidR="001D5C3B">
        <w:rPr>
          <w:i/>
          <w:szCs w:val="28"/>
        </w:rPr>
        <w:t>khoản nợ</w:t>
      </w:r>
      <w:r w:rsidRPr="00CD0B6B">
        <w:rPr>
          <w:i/>
          <w:szCs w:val="28"/>
          <w:lang w:val="vi-VN"/>
        </w:rPr>
        <w:t>)</w:t>
      </w:r>
    </w:p>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100" w:line="240" w:lineRule="auto"/>
        <w:ind w:firstLine="567"/>
        <w:jc w:val="both"/>
        <w:rPr>
          <w:szCs w:val="28"/>
          <w:lang w:val="vi-VN"/>
        </w:rPr>
      </w:pPr>
      <w:bookmarkStart w:id="0" w:name="_GoBack"/>
      <w:r w:rsidRPr="00CD0B6B">
        <w:rPr>
          <w:szCs w:val="28"/>
          <w:lang w:val="vi-VN"/>
        </w:rPr>
        <w:t xml:space="preserve">Ngân hàng TMCP Đầu tư và Phát triển Việt Nam – Chi nhánh </w:t>
      </w:r>
      <w:r w:rsidR="001D5C3B">
        <w:rPr>
          <w:szCs w:val="28"/>
        </w:rPr>
        <w:t>Bến Nghé</w:t>
      </w:r>
      <w:r w:rsidRPr="00CD0B6B">
        <w:rPr>
          <w:szCs w:val="28"/>
          <w:lang w:val="vi-VN"/>
        </w:rPr>
        <w:t xml:space="preserve"> thông báo về việc lựa chọn tổ chức đấu giá </w:t>
      </w:r>
      <w:r w:rsidR="001D5C3B">
        <w:rPr>
          <w:szCs w:val="28"/>
        </w:rPr>
        <w:t>khoản nợ</w:t>
      </w:r>
      <w:r w:rsidRPr="00CD0B6B">
        <w:rPr>
          <w:szCs w:val="28"/>
          <w:lang w:val="vi-VN"/>
        </w:rPr>
        <w:t xml:space="preserve"> như sau:</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1. Thông tin tài sản:</w:t>
      </w:r>
    </w:p>
    <w:p w:rsidR="001925C6" w:rsidRPr="00B46DD0" w:rsidRDefault="001925C6" w:rsidP="001925C6">
      <w:pPr>
        <w:widowControl w:val="0"/>
        <w:tabs>
          <w:tab w:val="left" w:pos="567"/>
          <w:tab w:val="right" w:pos="7560"/>
        </w:tabs>
        <w:spacing w:after="100" w:line="240" w:lineRule="auto"/>
        <w:ind w:firstLine="567"/>
        <w:jc w:val="both"/>
        <w:rPr>
          <w:szCs w:val="28"/>
        </w:rPr>
      </w:pPr>
      <w:r w:rsidRPr="00B46DD0">
        <w:rPr>
          <w:szCs w:val="28"/>
        </w:rPr>
        <w:t xml:space="preserve">- </w:t>
      </w:r>
      <w:r w:rsidR="001D5C3B" w:rsidRPr="00B46DD0">
        <w:rPr>
          <w:szCs w:val="28"/>
        </w:rPr>
        <w:t>Toàn bộ khoản vay của Công ty CP Tập Đoàn Đầu Tư Đô Thành tại BIDV – CN Bến Nghé</w:t>
      </w:r>
    </w:p>
    <w:p w:rsidR="001925C6" w:rsidRDefault="001925C6" w:rsidP="001925C6">
      <w:pPr>
        <w:widowControl w:val="0"/>
        <w:tabs>
          <w:tab w:val="left" w:pos="567"/>
          <w:tab w:val="right" w:pos="7560"/>
        </w:tabs>
        <w:spacing w:after="100" w:line="240" w:lineRule="auto"/>
        <w:ind w:firstLine="567"/>
        <w:jc w:val="both"/>
        <w:rPr>
          <w:szCs w:val="28"/>
        </w:rPr>
      </w:pPr>
      <w:r w:rsidRPr="00B46DD0">
        <w:rPr>
          <w:szCs w:val="28"/>
        </w:rPr>
        <w:t xml:space="preserve">- </w:t>
      </w:r>
      <w:r w:rsidR="001D5C3B">
        <w:rPr>
          <w:szCs w:val="28"/>
        </w:rPr>
        <w:t>T</w:t>
      </w:r>
      <w:r w:rsidR="001D5C3B" w:rsidRPr="00B46DD0">
        <w:rPr>
          <w:szCs w:val="28"/>
        </w:rPr>
        <w:t>ài sản đảm bảo của khoản nợ</w:t>
      </w:r>
      <w:r w:rsidR="001D5C3B">
        <w:rPr>
          <w:szCs w:val="28"/>
        </w:rPr>
        <w:t>:</w:t>
      </w:r>
    </w:p>
    <w:p w:rsidR="001D5C3B" w:rsidRPr="00B46DD0" w:rsidRDefault="00667FF2" w:rsidP="001D5C3B">
      <w:pPr>
        <w:spacing w:before="120" w:after="120" w:line="264" w:lineRule="auto"/>
        <w:ind w:firstLine="709"/>
        <w:jc w:val="both"/>
        <w:rPr>
          <w:szCs w:val="28"/>
        </w:rPr>
      </w:pPr>
      <w:r w:rsidRPr="00B46DD0">
        <w:rPr>
          <w:szCs w:val="28"/>
        </w:rPr>
        <w:t>Quyền sử dụng đất</w:t>
      </w:r>
      <w:r w:rsidR="001D5C3B" w:rsidRPr="00B46DD0">
        <w:rPr>
          <w:szCs w:val="28"/>
        </w:rPr>
        <w:t xml:space="preserve"> tại thửa đất số 231, TBĐ 30 theo GCN số AK040461 (Số vào sổ cấp GCN T00021) do Sở TN &amp; MT tỉnh Lâm Đồng cấp ngày 01/11/2007 tại Thị Trấn Madagui, Huyện Đạ Huoai, Lâm Đồng:</w:t>
      </w:r>
    </w:p>
    <w:p w:rsidR="001D5C3B" w:rsidRPr="00B46DD0" w:rsidRDefault="001D5C3B" w:rsidP="001D5C3B">
      <w:pPr>
        <w:spacing w:before="120" w:after="120" w:line="264" w:lineRule="auto"/>
        <w:ind w:firstLine="709"/>
        <w:jc w:val="both"/>
        <w:rPr>
          <w:b/>
          <w:szCs w:val="28"/>
        </w:rPr>
      </w:pPr>
      <w:r w:rsidRPr="00B46DD0">
        <w:rPr>
          <w:b/>
          <w:szCs w:val="28"/>
        </w:rPr>
        <w:t>Đất ở:</w:t>
      </w:r>
    </w:p>
    <w:p w:rsidR="001D5C3B" w:rsidRPr="00B46DD0" w:rsidRDefault="001D5C3B" w:rsidP="001D5C3B">
      <w:pPr>
        <w:pStyle w:val="ListParagraph"/>
        <w:spacing w:before="120" w:after="120" w:line="264" w:lineRule="auto"/>
        <w:ind w:left="709"/>
        <w:jc w:val="both"/>
        <w:rPr>
          <w:szCs w:val="28"/>
        </w:rPr>
      </w:pPr>
      <w:r w:rsidRPr="00B46DD0">
        <w:rPr>
          <w:szCs w:val="28"/>
        </w:rPr>
        <w:t>Thửa đất số: 231</w:t>
      </w:r>
      <w:r w:rsidRPr="00B46DD0">
        <w:rPr>
          <w:szCs w:val="28"/>
        </w:rPr>
        <w:tab/>
      </w:r>
      <w:r w:rsidRPr="00B46DD0">
        <w:rPr>
          <w:szCs w:val="28"/>
        </w:rPr>
        <w:tab/>
      </w:r>
      <w:r w:rsidRPr="00B46DD0">
        <w:rPr>
          <w:szCs w:val="28"/>
        </w:rPr>
        <w:tab/>
        <w:t>Tờ bản đồ số: 30</w:t>
      </w:r>
    </w:p>
    <w:p w:rsidR="001D5C3B" w:rsidRPr="00B46DD0" w:rsidRDefault="001D5C3B" w:rsidP="001D5C3B">
      <w:pPr>
        <w:pStyle w:val="ListParagraph"/>
        <w:spacing w:before="120" w:after="120" w:line="264" w:lineRule="auto"/>
        <w:ind w:left="709"/>
        <w:jc w:val="both"/>
        <w:rPr>
          <w:szCs w:val="28"/>
          <w:vertAlign w:val="superscript"/>
        </w:rPr>
      </w:pPr>
      <w:r w:rsidRPr="00B46DD0">
        <w:rPr>
          <w:szCs w:val="28"/>
        </w:rPr>
        <w:t>Diện tích: 23.154  m</w:t>
      </w:r>
      <w:r w:rsidRPr="00B46DD0">
        <w:rPr>
          <w:szCs w:val="28"/>
          <w:vertAlign w:val="superscript"/>
        </w:rPr>
        <w:t>2</w:t>
      </w:r>
      <w:r w:rsidRPr="00B46DD0">
        <w:rPr>
          <w:szCs w:val="28"/>
          <w:vertAlign w:val="superscript"/>
        </w:rPr>
        <w:tab/>
      </w:r>
      <w:r w:rsidRPr="00B46DD0">
        <w:rPr>
          <w:szCs w:val="28"/>
          <w:vertAlign w:val="superscript"/>
        </w:rPr>
        <w:tab/>
      </w:r>
      <w:r w:rsidRPr="00B46DD0">
        <w:rPr>
          <w:szCs w:val="28"/>
        </w:rPr>
        <w:t>Hình thức sử dụng: riêng 23.154  m</w:t>
      </w:r>
      <w:r w:rsidRPr="00B46DD0">
        <w:rPr>
          <w:szCs w:val="28"/>
          <w:vertAlign w:val="superscript"/>
        </w:rPr>
        <w:t>2</w:t>
      </w:r>
    </w:p>
    <w:p w:rsidR="001D5C3B" w:rsidRPr="00B46DD0" w:rsidRDefault="001D5C3B" w:rsidP="001D5C3B">
      <w:pPr>
        <w:pStyle w:val="ListParagraph"/>
        <w:spacing w:before="120" w:after="120" w:line="264" w:lineRule="auto"/>
        <w:ind w:left="709"/>
        <w:jc w:val="both"/>
        <w:rPr>
          <w:szCs w:val="28"/>
        </w:rPr>
      </w:pPr>
      <w:r w:rsidRPr="00B46DD0">
        <w:rPr>
          <w:szCs w:val="28"/>
        </w:rPr>
        <w:t>Mục đích sử dụng đất: đất cơ sở sản xuất, kinh doanh (thực hiện dự án khu du lịch nghỉ dưỡng và vui chơi giải trí Trúc Phương – Madagui).</w:t>
      </w:r>
    </w:p>
    <w:p w:rsidR="001D5C3B" w:rsidRPr="00B46DD0" w:rsidRDefault="001D5C3B" w:rsidP="001D5C3B">
      <w:pPr>
        <w:pStyle w:val="ListParagraph"/>
        <w:spacing w:before="120" w:after="120" w:line="264" w:lineRule="auto"/>
        <w:ind w:left="709"/>
        <w:jc w:val="both"/>
        <w:rPr>
          <w:szCs w:val="28"/>
        </w:rPr>
      </w:pPr>
      <w:r w:rsidRPr="00B46DD0">
        <w:rPr>
          <w:szCs w:val="28"/>
        </w:rPr>
        <w:t>Thời hạn sử dụng đất: đến 11/9/2057</w:t>
      </w:r>
    </w:p>
    <w:p w:rsidR="001D5C3B" w:rsidRPr="00B46DD0" w:rsidRDefault="001D5C3B" w:rsidP="001D5C3B">
      <w:pPr>
        <w:pStyle w:val="ListParagraph"/>
        <w:spacing w:before="120" w:after="120" w:line="264" w:lineRule="auto"/>
        <w:ind w:left="709"/>
        <w:jc w:val="both"/>
        <w:rPr>
          <w:szCs w:val="28"/>
        </w:rPr>
      </w:pPr>
      <w:r w:rsidRPr="00B46DD0">
        <w:rPr>
          <w:szCs w:val="28"/>
        </w:rPr>
        <w:t>Nguồn gốc sử dụng đất: nhà nước cho thuê đất trả tiền một lần</w:t>
      </w:r>
    </w:p>
    <w:p w:rsidR="001D5C3B" w:rsidRPr="00B46DD0" w:rsidRDefault="001D5C3B" w:rsidP="001D5C3B">
      <w:pPr>
        <w:spacing w:before="120" w:after="120" w:line="264" w:lineRule="auto"/>
        <w:ind w:firstLine="709"/>
        <w:jc w:val="both"/>
        <w:rPr>
          <w:b/>
          <w:szCs w:val="28"/>
        </w:rPr>
      </w:pPr>
      <w:r w:rsidRPr="00B46DD0">
        <w:rPr>
          <w:b/>
          <w:szCs w:val="28"/>
        </w:rPr>
        <w:t>Tài sản gắn liền trên đất:/.</w:t>
      </w:r>
    </w:p>
    <w:p w:rsidR="00667FF2" w:rsidRPr="00B46DD0" w:rsidRDefault="00667FF2" w:rsidP="00667FF2">
      <w:pPr>
        <w:widowControl w:val="0"/>
        <w:tabs>
          <w:tab w:val="left" w:pos="567"/>
          <w:tab w:val="right" w:pos="7560"/>
        </w:tabs>
        <w:spacing w:after="100" w:line="240" w:lineRule="auto"/>
        <w:ind w:firstLine="567"/>
        <w:jc w:val="both"/>
        <w:rPr>
          <w:szCs w:val="28"/>
          <w:lang w:val="vi-VN"/>
        </w:rPr>
      </w:pPr>
      <w:r w:rsidRPr="00B46DD0">
        <w:rPr>
          <w:szCs w:val="28"/>
        </w:rPr>
        <w:t xml:space="preserve"> - </w:t>
      </w:r>
      <w:r w:rsidRPr="00B46DD0">
        <w:rPr>
          <w:szCs w:val="28"/>
          <w:lang w:val="vi-VN"/>
        </w:rPr>
        <w:t>Chủ sở hữu tài sản đảm bảo: Công ty cổ phần Trúc Phương</w:t>
      </w:r>
    </w:p>
    <w:p w:rsidR="001925C6" w:rsidRPr="001C2A58" w:rsidRDefault="001925C6" w:rsidP="001925C6">
      <w:pPr>
        <w:widowControl w:val="0"/>
        <w:tabs>
          <w:tab w:val="left" w:pos="567"/>
          <w:tab w:val="right" w:pos="7560"/>
        </w:tabs>
        <w:spacing w:after="100" w:line="240" w:lineRule="auto"/>
        <w:ind w:firstLine="567"/>
        <w:jc w:val="both"/>
        <w:rPr>
          <w:i/>
          <w:szCs w:val="28"/>
        </w:rPr>
      </w:pPr>
      <w:r w:rsidRPr="00B46DD0">
        <w:rPr>
          <w:szCs w:val="28"/>
          <w:lang w:val="vi-VN"/>
        </w:rPr>
        <w:t>- Giá khởi điểm:</w:t>
      </w:r>
      <w:r w:rsidR="007A7CE5" w:rsidRPr="00B46DD0">
        <w:rPr>
          <w:szCs w:val="28"/>
        </w:rPr>
        <w:t xml:space="preserve"> bằng</w:t>
      </w:r>
      <w:r w:rsidR="00EE2874">
        <w:rPr>
          <w:szCs w:val="28"/>
        </w:rPr>
        <w:t xml:space="preserve"> </w:t>
      </w:r>
      <w:r w:rsidR="007A7CE5" w:rsidRPr="00B46DD0">
        <w:rPr>
          <w:szCs w:val="28"/>
        </w:rPr>
        <w:t xml:space="preserve">toàn bộ dư nợ gốc, dư nợ lãi và phí phạt quá hạn của khoản nợ đến thời điểm BIDV ký hợp đồng dịch vụ đấu giá khoản nợ </w:t>
      </w:r>
      <w:r w:rsidR="007A7CE5" w:rsidRPr="001C2A58">
        <w:rPr>
          <w:szCs w:val="28"/>
        </w:rPr>
        <w:t xml:space="preserve">(tạm tính đến ngày </w:t>
      </w:r>
      <w:r w:rsidR="007426F0" w:rsidRPr="001C2A58">
        <w:rPr>
          <w:szCs w:val="28"/>
        </w:rPr>
        <w:t xml:space="preserve">10/10/2022 </w:t>
      </w:r>
      <w:r w:rsidR="007A7CE5" w:rsidRPr="001C2A58">
        <w:rPr>
          <w:szCs w:val="28"/>
        </w:rPr>
        <w:t xml:space="preserve">là </w:t>
      </w:r>
      <w:r w:rsidR="007426F0" w:rsidRPr="001C2A58">
        <w:rPr>
          <w:b/>
          <w:szCs w:val="28"/>
        </w:rPr>
        <w:t>34.457.273.973</w:t>
      </w:r>
      <w:r w:rsidRPr="001C2A58">
        <w:rPr>
          <w:i/>
          <w:szCs w:val="28"/>
          <w:lang w:val="vi-VN"/>
        </w:rPr>
        <w:t xml:space="preserve">(bằng chữ: </w:t>
      </w:r>
      <w:r w:rsidR="001C2A58" w:rsidRPr="001C2A58">
        <w:rPr>
          <w:i/>
          <w:szCs w:val="28"/>
        </w:rPr>
        <w:t>Ba mươi bốn tỷ bốn trăm năm mươi bảy triệu hai trăm bảy mươi ba ngàn chín trăm bảy mươi ba đồng</w:t>
      </w:r>
      <w:r w:rsidRPr="001C2A58">
        <w:rPr>
          <w:i/>
          <w:szCs w:val="28"/>
          <w:lang w:val="vi-VN"/>
        </w:rPr>
        <w:t>)</w:t>
      </w:r>
      <w:r w:rsidR="001C2A58" w:rsidRPr="001C2A58">
        <w:rPr>
          <w:i/>
          <w:szCs w:val="28"/>
        </w:rPr>
        <w:t>.</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 xml:space="preserve">2. Thời </w:t>
      </w:r>
      <w:r w:rsidR="004A3D59">
        <w:rPr>
          <w:b/>
          <w:szCs w:val="28"/>
        </w:rPr>
        <w:t xml:space="preserve">hạn </w:t>
      </w:r>
      <w:r w:rsidR="00E13847">
        <w:rPr>
          <w:b/>
          <w:szCs w:val="28"/>
        </w:rPr>
        <w:t xml:space="preserve">nộp </w:t>
      </w:r>
      <w:r w:rsidRPr="00CD0B6B">
        <w:rPr>
          <w:b/>
          <w:szCs w:val="28"/>
          <w:lang w:val="vi-VN"/>
        </w:rPr>
        <w:t>hồ sơ:</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Thời hạn nộp hồ sơ trực tiếp là </w:t>
      </w:r>
      <w:r w:rsidR="001769A0" w:rsidRPr="00527DD1">
        <w:rPr>
          <w:b/>
          <w:szCs w:val="28"/>
        </w:rPr>
        <w:t>10</w:t>
      </w:r>
      <w:r w:rsidRPr="00CD0B6B">
        <w:rPr>
          <w:szCs w:val="28"/>
          <w:lang w:val="vi-VN"/>
        </w:rPr>
        <w:t xml:space="preserve"> ngày kể từ ngày thông báo (hồ sơ nộp theo đường bưu điện được tính theo dấu bưu điện, với điều kiện BIDV </w:t>
      </w:r>
      <w:r w:rsidR="001769A0">
        <w:rPr>
          <w:szCs w:val="28"/>
        </w:rPr>
        <w:t>Bến Nghé</w:t>
      </w:r>
      <w:r w:rsidRPr="00CD0B6B">
        <w:rPr>
          <w:szCs w:val="28"/>
          <w:lang w:val="vi-VN"/>
        </w:rPr>
        <w:t xml:space="preserve"> phải nhận được trong thời hạn </w:t>
      </w:r>
      <w:r w:rsidR="00527DD1">
        <w:rPr>
          <w:szCs w:val="28"/>
        </w:rPr>
        <w:t>10</w:t>
      </w:r>
      <w:r w:rsidRPr="00CD0B6B">
        <w:rPr>
          <w:szCs w:val="28"/>
          <w:lang w:val="vi-VN"/>
        </w:rPr>
        <w:t xml:space="preserve"> ngày kể từ ngày thông báo).</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3. Địa điểm nộp hồ sơ:</w:t>
      </w:r>
    </w:p>
    <w:p w:rsidR="001925C6" w:rsidRPr="00527DD1" w:rsidRDefault="001925C6" w:rsidP="001925C6">
      <w:pPr>
        <w:widowControl w:val="0"/>
        <w:tabs>
          <w:tab w:val="left" w:pos="567"/>
          <w:tab w:val="right" w:pos="7560"/>
        </w:tabs>
        <w:spacing w:after="100" w:line="240" w:lineRule="auto"/>
        <w:ind w:firstLine="567"/>
        <w:jc w:val="both"/>
        <w:rPr>
          <w:szCs w:val="28"/>
        </w:rPr>
      </w:pPr>
      <w:r w:rsidRPr="00CD0B6B">
        <w:rPr>
          <w:szCs w:val="28"/>
          <w:lang w:val="vi-VN"/>
        </w:rPr>
        <w:t>- Ngân hàng TMCP Đầu tư và Phát triển Việt Nam – Chi nhánh</w:t>
      </w:r>
      <w:r w:rsidR="001769A0">
        <w:rPr>
          <w:szCs w:val="28"/>
        </w:rPr>
        <w:t xml:space="preserve"> Bến Nghé</w:t>
      </w:r>
      <w:r w:rsidRPr="00CD0B6B">
        <w:rPr>
          <w:szCs w:val="28"/>
          <w:lang w:val="vi-VN"/>
        </w:rPr>
        <w:t xml:space="preserve">, Phòng </w:t>
      </w:r>
      <w:r w:rsidR="001769A0">
        <w:rPr>
          <w:szCs w:val="28"/>
        </w:rPr>
        <w:t>Quản lý</w:t>
      </w:r>
      <w:r w:rsidR="00C002A4">
        <w:rPr>
          <w:szCs w:val="28"/>
        </w:rPr>
        <w:t>rủi ro.</w:t>
      </w:r>
      <w:r w:rsidR="00290CF9">
        <w:rPr>
          <w:szCs w:val="28"/>
        </w:rPr>
        <w:t xml:space="preserve">Địa chỉ: </w:t>
      </w:r>
      <w:r w:rsidR="00527DD1">
        <w:rPr>
          <w:szCs w:val="28"/>
          <w:lang w:val="vi-VN"/>
        </w:rPr>
        <w:t xml:space="preserve">34 </w:t>
      </w:r>
      <w:r w:rsidR="00527DD1">
        <w:rPr>
          <w:szCs w:val="28"/>
        </w:rPr>
        <w:t xml:space="preserve">Nguyễn Thị Diệu, Phường Võ Thị Sáu, Quận 3, </w:t>
      </w:r>
      <w:r w:rsidR="00527DD1">
        <w:rPr>
          <w:szCs w:val="28"/>
        </w:rPr>
        <w:lastRenderedPageBreak/>
        <w:t xml:space="preserve">TPHCM. </w:t>
      </w:r>
    </w:p>
    <w:p w:rsidR="00527DD1" w:rsidRDefault="00527DD1" w:rsidP="001925C6">
      <w:pPr>
        <w:widowControl w:val="0"/>
        <w:tabs>
          <w:tab w:val="left" w:pos="567"/>
          <w:tab w:val="right" w:pos="7560"/>
        </w:tabs>
        <w:spacing w:after="100" w:line="240" w:lineRule="auto"/>
        <w:ind w:firstLine="567"/>
        <w:jc w:val="both"/>
        <w:rPr>
          <w:szCs w:val="28"/>
          <w:lang w:val="vi-VN"/>
        </w:rPr>
      </w:pPr>
      <w:r>
        <w:rPr>
          <w:szCs w:val="28"/>
          <w:lang w:val="vi-VN"/>
        </w:rPr>
        <w:t>- Đầu mối liên hệ:</w:t>
      </w:r>
    </w:p>
    <w:p w:rsidR="001925C6" w:rsidRDefault="007426F0" w:rsidP="001925C6">
      <w:pPr>
        <w:widowControl w:val="0"/>
        <w:tabs>
          <w:tab w:val="left" w:pos="567"/>
          <w:tab w:val="right" w:pos="7560"/>
        </w:tabs>
        <w:spacing w:after="100" w:line="240" w:lineRule="auto"/>
        <w:ind w:firstLine="567"/>
        <w:jc w:val="both"/>
        <w:rPr>
          <w:szCs w:val="28"/>
        </w:rPr>
      </w:pPr>
      <w:r>
        <w:rPr>
          <w:szCs w:val="28"/>
        </w:rPr>
        <w:t xml:space="preserve">+ </w:t>
      </w:r>
      <w:r w:rsidR="00527DD1">
        <w:rPr>
          <w:szCs w:val="28"/>
          <w:lang w:val="vi-VN"/>
        </w:rPr>
        <w:t xml:space="preserve">Ông </w:t>
      </w:r>
      <w:r w:rsidR="00527DD1">
        <w:rPr>
          <w:szCs w:val="28"/>
        </w:rPr>
        <w:t xml:space="preserve">Hoàng Xuân Tình – Trưởng </w:t>
      </w:r>
      <w:r w:rsidR="00527DD1" w:rsidRPr="00CD0B6B">
        <w:rPr>
          <w:szCs w:val="28"/>
          <w:lang w:val="vi-VN"/>
        </w:rPr>
        <w:t xml:space="preserve">Phòng </w:t>
      </w:r>
      <w:r w:rsidR="00527DD1">
        <w:rPr>
          <w:szCs w:val="28"/>
        </w:rPr>
        <w:t>Quản lýrủi ro</w:t>
      </w:r>
      <w:r w:rsidR="00382121">
        <w:rPr>
          <w:szCs w:val="28"/>
        </w:rPr>
        <w:t xml:space="preserve"> (email: tinhhx@bidv.com.vn)</w:t>
      </w:r>
    </w:p>
    <w:p w:rsidR="00527DD1" w:rsidRPr="001C2A58" w:rsidRDefault="007426F0" w:rsidP="00527DD1">
      <w:pPr>
        <w:widowControl w:val="0"/>
        <w:tabs>
          <w:tab w:val="left" w:pos="567"/>
          <w:tab w:val="right" w:pos="7560"/>
        </w:tabs>
        <w:spacing w:after="100" w:line="240" w:lineRule="auto"/>
        <w:ind w:firstLine="567"/>
        <w:jc w:val="both"/>
        <w:rPr>
          <w:szCs w:val="28"/>
        </w:rPr>
      </w:pPr>
      <w:r w:rsidRPr="001C2A58">
        <w:rPr>
          <w:szCs w:val="28"/>
        </w:rPr>
        <w:t xml:space="preserve">+ </w:t>
      </w:r>
      <w:r w:rsidR="00527DD1" w:rsidRPr="001C2A58">
        <w:rPr>
          <w:szCs w:val="28"/>
          <w:lang w:val="vi-VN"/>
        </w:rPr>
        <w:t xml:space="preserve">Ông </w:t>
      </w:r>
      <w:r w:rsidR="00527DD1" w:rsidRPr="001C2A58">
        <w:rPr>
          <w:szCs w:val="28"/>
        </w:rPr>
        <w:t xml:space="preserve">Nguyễn Vương Huy – Phó Trưởng </w:t>
      </w:r>
      <w:r w:rsidR="00527DD1" w:rsidRPr="001C2A58">
        <w:rPr>
          <w:szCs w:val="28"/>
          <w:lang w:val="vi-VN"/>
        </w:rPr>
        <w:t xml:space="preserve">Phòng </w:t>
      </w:r>
      <w:r w:rsidR="00527DD1" w:rsidRPr="001C2A58">
        <w:rPr>
          <w:szCs w:val="28"/>
        </w:rPr>
        <w:t>Quản lý rủi ro</w:t>
      </w:r>
      <w:r w:rsidR="00382121">
        <w:rPr>
          <w:szCs w:val="28"/>
        </w:rPr>
        <w:t>(email: huynv3@bidv.com.vn)</w:t>
      </w:r>
    </w:p>
    <w:p w:rsidR="00527DD1" w:rsidRPr="001C2A58" w:rsidRDefault="007426F0" w:rsidP="00527DD1">
      <w:pPr>
        <w:widowControl w:val="0"/>
        <w:tabs>
          <w:tab w:val="left" w:pos="567"/>
          <w:tab w:val="right" w:pos="7560"/>
        </w:tabs>
        <w:spacing w:after="100" w:line="240" w:lineRule="auto"/>
        <w:ind w:firstLine="567"/>
        <w:jc w:val="both"/>
        <w:rPr>
          <w:szCs w:val="28"/>
        </w:rPr>
      </w:pPr>
      <w:r w:rsidRPr="001C2A58">
        <w:rPr>
          <w:szCs w:val="28"/>
        </w:rPr>
        <w:t xml:space="preserve">+ </w:t>
      </w:r>
      <w:r w:rsidR="00527DD1" w:rsidRPr="001C2A58">
        <w:rPr>
          <w:szCs w:val="28"/>
        </w:rPr>
        <w:t xml:space="preserve">Số điện thoại: </w:t>
      </w:r>
      <w:r w:rsidR="00B46DD0" w:rsidRPr="001C2A58">
        <w:rPr>
          <w:szCs w:val="28"/>
        </w:rPr>
        <w:t>84 (8) 39 306 718</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4. Tiêu chí lựa chọn:</w:t>
      </w:r>
    </w:p>
    <w:p w:rsidR="003862B9" w:rsidRPr="005909F1" w:rsidRDefault="001925C6" w:rsidP="003862B9">
      <w:pPr>
        <w:widowControl w:val="0"/>
        <w:spacing w:after="100" w:line="240" w:lineRule="auto"/>
        <w:ind w:firstLine="567"/>
        <w:jc w:val="both"/>
        <w:rPr>
          <w:szCs w:val="28"/>
        </w:rPr>
      </w:pPr>
      <w:r w:rsidRPr="00CD0B6B">
        <w:rPr>
          <w:szCs w:val="28"/>
          <w:lang w:val="vi-VN"/>
        </w:rPr>
        <w:t xml:space="preserve">- </w:t>
      </w:r>
      <w:r w:rsidR="003862B9" w:rsidRPr="003862B9">
        <w:rPr>
          <w:szCs w:val="28"/>
          <w:lang w:val="vi-VN"/>
        </w:rPr>
        <w:t>Cơ sở vật chất, trang thiết bị cần thiết bảo đảm cho việc đấu g</w:t>
      </w:r>
      <w:r w:rsidR="005909F1">
        <w:rPr>
          <w:szCs w:val="28"/>
          <w:lang w:val="vi-VN"/>
        </w:rPr>
        <w:t>iá đối với loại tài sản đấu giá</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Phươ</w:t>
      </w:r>
      <w:r w:rsidR="005909F1">
        <w:rPr>
          <w:szCs w:val="28"/>
          <w:lang w:val="vi-VN"/>
        </w:rPr>
        <w:t>ng án đấu giá khả thi, hiệu quả</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Năng lực, kinh nghiệm và uy </w:t>
      </w:r>
      <w:r w:rsidR="005909F1">
        <w:rPr>
          <w:szCs w:val="28"/>
          <w:lang w:val="vi-VN"/>
        </w:rPr>
        <w:t>tín của tổ chức đấu giá tài sản</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Thù lao dịch vụ đấu giá, </w:t>
      </w:r>
      <w:r w:rsidR="005909F1">
        <w:rPr>
          <w:szCs w:val="28"/>
          <w:lang w:val="vi-VN"/>
        </w:rPr>
        <w:t>chi phí đấu giá tài sản phù hợp</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Có tên trong danh sách các tổ chức đấu gi</w:t>
      </w:r>
      <w:r w:rsidR="005909F1">
        <w:rPr>
          <w:szCs w:val="28"/>
          <w:lang w:val="vi-VN"/>
        </w:rPr>
        <w:t>á tài sản do Bộ Tư pháp công bố</w:t>
      </w:r>
      <w:r w:rsidR="005909F1">
        <w:rPr>
          <w:szCs w:val="28"/>
        </w:rPr>
        <w:t>.</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thời gian hoạt động tối thiểu là 03 năm.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tối thiểu 03 đấu giá viên.</w:t>
      </w:r>
    </w:p>
    <w:p w:rsidR="001925C6" w:rsidRPr="00F632A8" w:rsidRDefault="001925C6" w:rsidP="001925C6">
      <w:pPr>
        <w:widowControl w:val="0"/>
        <w:tabs>
          <w:tab w:val="left" w:pos="567"/>
          <w:tab w:val="right" w:pos="7560"/>
        </w:tabs>
        <w:spacing w:after="100" w:line="240" w:lineRule="auto"/>
        <w:ind w:firstLine="567"/>
        <w:jc w:val="both"/>
        <w:rPr>
          <w:b/>
          <w:szCs w:val="28"/>
        </w:rPr>
      </w:pPr>
      <w:r w:rsidRPr="00CD0B6B">
        <w:rPr>
          <w:b/>
          <w:szCs w:val="28"/>
          <w:lang w:val="vi-VN"/>
        </w:rPr>
        <w:t>5. Hồ sơ đăng ký bao gồm: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Hồ sơ pháp lý doanh nghiệp.</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Bản mô tả năng lực, kinh nghiệm.</w:t>
      </w:r>
    </w:p>
    <w:p w:rsidR="001925C6"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 Thư chào giá, </w:t>
      </w:r>
      <w:r w:rsidR="00932813">
        <w:rPr>
          <w:szCs w:val="28"/>
        </w:rPr>
        <w:t xml:space="preserve">hồ sơ liên quan theo Mục 4 Thông báo này, </w:t>
      </w:r>
      <w:r w:rsidRPr="00CD0B6B">
        <w:rPr>
          <w:szCs w:val="28"/>
          <w:lang w:val="vi-VN"/>
        </w:rPr>
        <w:t>các cam kết khác của tổ chức đấu giá (nếu có).</w:t>
      </w:r>
    </w:p>
    <w:p w:rsidR="00527DD1" w:rsidRPr="001C2A58" w:rsidRDefault="00527DD1" w:rsidP="001925C6">
      <w:pPr>
        <w:widowControl w:val="0"/>
        <w:tabs>
          <w:tab w:val="left" w:pos="567"/>
          <w:tab w:val="right" w:pos="7560"/>
        </w:tabs>
        <w:spacing w:after="100" w:line="240" w:lineRule="auto"/>
        <w:ind w:firstLine="567"/>
        <w:jc w:val="both"/>
        <w:rPr>
          <w:szCs w:val="28"/>
          <w:lang w:val="vi-VN"/>
        </w:rPr>
      </w:pPr>
      <w:r w:rsidRPr="001C2A58">
        <w:rPr>
          <w:szCs w:val="28"/>
          <w:lang w:val="vi-VN"/>
        </w:rPr>
        <w:t>- Bản cu</w:t>
      </w:r>
      <w:r w:rsidR="008E4D37">
        <w:rPr>
          <w:szCs w:val="28"/>
          <w:lang w:val="vi-VN"/>
        </w:rPr>
        <w:t xml:space="preserve">ng cấp thông tin (theo mẫu của </w:t>
      </w:r>
      <w:r w:rsidR="008E4D37">
        <w:rPr>
          <w:szCs w:val="28"/>
        </w:rPr>
        <w:t xml:space="preserve">BIDV Bến Nghé). </w:t>
      </w:r>
      <w:r w:rsidR="001C2A58" w:rsidRPr="001C2A58">
        <w:rPr>
          <w:szCs w:val="28"/>
          <w:lang w:val="vi-VN"/>
        </w:rPr>
        <w:t xml:space="preserve">Tổ chức đấu giá tài sản chịu </w:t>
      </w:r>
      <w:r w:rsidR="001C2A58">
        <w:rPr>
          <w:szCs w:val="28"/>
        </w:rPr>
        <w:t xml:space="preserve">hoàn toàn </w:t>
      </w:r>
      <w:r w:rsidR="001C2A58" w:rsidRPr="001C2A58">
        <w:rPr>
          <w:szCs w:val="28"/>
          <w:lang w:val="vi-VN"/>
        </w:rPr>
        <w:t>trách nhiệm đối với thông tin do mình cung cấp.</w:t>
      </w:r>
    </w:p>
    <w:p w:rsidR="001925C6" w:rsidRPr="00CD0B6B" w:rsidRDefault="001925C6" w:rsidP="001925C6">
      <w:pPr>
        <w:widowControl w:val="0"/>
        <w:tabs>
          <w:tab w:val="left" w:pos="567"/>
          <w:tab w:val="right" w:pos="7560"/>
        </w:tabs>
        <w:spacing w:after="100" w:line="240" w:lineRule="auto"/>
        <w:ind w:firstLine="567"/>
        <w:jc w:val="both"/>
        <w:rPr>
          <w:b/>
          <w:i/>
          <w:szCs w:val="28"/>
          <w:lang w:val="vi-VN"/>
        </w:rPr>
      </w:pPr>
      <w:r w:rsidRPr="00CD0B6B">
        <w:rPr>
          <w:b/>
          <w:i/>
          <w:szCs w:val="28"/>
          <w:lang w:val="vi-VN"/>
        </w:rPr>
        <w:t>* Lưu ý:</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w:t>
      </w:r>
      <w:r w:rsidR="002048AA">
        <w:rPr>
          <w:i/>
          <w:szCs w:val="28"/>
        </w:rPr>
        <w:t xml:space="preserve">Hồ sơ đăng ký </w:t>
      </w:r>
      <w:r w:rsidRPr="00CD0B6B">
        <w:rPr>
          <w:i/>
          <w:szCs w:val="28"/>
          <w:lang w:val="vi-VN"/>
        </w:rPr>
        <w:t>mặc nhiên hết hiệu lực trong trường hợp tổ chức đấu giá không được đấu giá theo quy định của pháp luật.</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BIDV </w:t>
      </w:r>
      <w:r w:rsidR="00E91D58">
        <w:rPr>
          <w:i/>
          <w:szCs w:val="28"/>
        </w:rPr>
        <w:t xml:space="preserve">Bến Nghé </w:t>
      </w:r>
      <w:r w:rsidRPr="00CD0B6B">
        <w:rPr>
          <w:i/>
          <w:szCs w:val="28"/>
          <w:lang w:val="vi-VN"/>
        </w:rPr>
        <w:t xml:space="preserve">sẽ có văn bản thông báo kết quả cho tổ chức đấu giá được lựa chọn, những đơn vị không được thông báo kết quả được hiểu là không được lựa chọn, BIDV </w:t>
      </w:r>
      <w:r w:rsidR="00E91D58">
        <w:rPr>
          <w:i/>
          <w:szCs w:val="28"/>
        </w:rPr>
        <w:t>Bến Nghé</w:t>
      </w:r>
      <w:r w:rsidRPr="00CD0B6B">
        <w:rPr>
          <w:i/>
          <w:szCs w:val="28"/>
          <w:lang w:val="vi-VN"/>
        </w:rPr>
        <w:t xml:space="preserve"> không hoàn trả hồ sơ với những đơn vị không được lựa chọn.</w:t>
      </w:r>
      <w:bookmarkEnd w:id="0"/>
    </w:p>
    <w:tbl>
      <w:tblPr>
        <w:tblW w:w="5000" w:type="pct"/>
        <w:tblLook w:val="04A0" w:firstRow="1" w:lastRow="0" w:firstColumn="1" w:lastColumn="0" w:noHBand="0" w:noVBand="1"/>
      </w:tblPr>
      <w:tblGrid>
        <w:gridCol w:w="5508"/>
        <w:gridCol w:w="3790"/>
      </w:tblGrid>
      <w:tr w:rsidR="001925C6" w:rsidRPr="00CD0B6B" w:rsidTr="00F504C3">
        <w:tc>
          <w:tcPr>
            <w:tcW w:w="2962" w:type="pct"/>
          </w:tcPr>
          <w:p w:rsidR="001925C6" w:rsidRPr="00CD0B6B" w:rsidRDefault="001925C6" w:rsidP="00F504C3">
            <w:pPr>
              <w:widowControl w:val="0"/>
              <w:spacing w:after="0" w:line="240" w:lineRule="auto"/>
              <w:jc w:val="both"/>
              <w:rPr>
                <w:b/>
                <w:bCs/>
                <w:sz w:val="24"/>
                <w:szCs w:val="28"/>
                <w:lang w:val="vi-VN"/>
              </w:rPr>
            </w:pPr>
          </w:p>
          <w:p w:rsidR="001925C6" w:rsidRPr="00CD0B6B" w:rsidRDefault="001925C6" w:rsidP="00F504C3">
            <w:pPr>
              <w:widowControl w:val="0"/>
              <w:spacing w:after="0" w:line="240" w:lineRule="auto"/>
              <w:jc w:val="both"/>
              <w:rPr>
                <w:b/>
                <w:bCs/>
                <w:i/>
                <w:sz w:val="24"/>
                <w:szCs w:val="28"/>
                <w:lang w:val="vi-VN"/>
              </w:rPr>
            </w:pPr>
            <w:r w:rsidRPr="00CD0B6B">
              <w:rPr>
                <w:b/>
                <w:bCs/>
                <w:i/>
                <w:sz w:val="24"/>
                <w:szCs w:val="28"/>
                <w:lang w:val="vi-VN"/>
              </w:rPr>
              <w:t>Nơi nhận:</w:t>
            </w:r>
          </w:p>
          <w:p w:rsidR="001925C6" w:rsidRPr="00CD0B6B" w:rsidRDefault="001925C6" w:rsidP="00F504C3">
            <w:pPr>
              <w:widowControl w:val="0"/>
              <w:spacing w:after="0" w:line="240" w:lineRule="auto"/>
              <w:jc w:val="both"/>
              <w:rPr>
                <w:bCs/>
                <w:sz w:val="22"/>
                <w:szCs w:val="28"/>
                <w:lang w:val="vi-VN"/>
              </w:rPr>
            </w:pPr>
            <w:r w:rsidRPr="00CD0B6B">
              <w:rPr>
                <w:bCs/>
                <w:sz w:val="22"/>
                <w:szCs w:val="28"/>
                <w:lang w:val="vi-VN"/>
              </w:rPr>
              <w:t>- Đăng trên website;</w:t>
            </w:r>
          </w:p>
          <w:p w:rsidR="001925C6" w:rsidRPr="00E91D58" w:rsidRDefault="00E91D58" w:rsidP="00E91D58">
            <w:pPr>
              <w:widowControl w:val="0"/>
              <w:spacing w:after="0" w:line="240" w:lineRule="auto"/>
              <w:jc w:val="both"/>
              <w:rPr>
                <w:bCs/>
                <w:sz w:val="24"/>
                <w:szCs w:val="28"/>
              </w:rPr>
            </w:pPr>
            <w:r>
              <w:rPr>
                <w:bCs/>
                <w:sz w:val="22"/>
                <w:szCs w:val="28"/>
                <w:lang w:val="vi-VN"/>
              </w:rPr>
              <w:t xml:space="preserve">- Lưu </w:t>
            </w:r>
            <w:r>
              <w:rPr>
                <w:bCs/>
                <w:sz w:val="22"/>
                <w:szCs w:val="28"/>
              </w:rPr>
              <w:t>QLRR, TCHC</w:t>
            </w:r>
          </w:p>
        </w:tc>
        <w:tc>
          <w:tcPr>
            <w:tcW w:w="2038" w:type="pct"/>
            <w:shd w:val="clear" w:color="auto" w:fill="auto"/>
          </w:tcPr>
          <w:p w:rsidR="001925C6" w:rsidRPr="00CD0B6B" w:rsidRDefault="001925C6" w:rsidP="00F504C3">
            <w:pPr>
              <w:widowControl w:val="0"/>
              <w:spacing w:after="0" w:line="240" w:lineRule="auto"/>
              <w:jc w:val="center"/>
              <w:rPr>
                <w:b/>
                <w:bCs/>
                <w:sz w:val="26"/>
                <w:szCs w:val="28"/>
                <w:lang w:val="vi-VN"/>
              </w:rPr>
            </w:pPr>
            <w:r w:rsidRPr="00CD0B6B">
              <w:rPr>
                <w:b/>
                <w:bCs/>
                <w:sz w:val="26"/>
                <w:szCs w:val="28"/>
                <w:lang w:val="vi-VN"/>
              </w:rPr>
              <w:t>GIÁM ĐỐC</w:t>
            </w: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6"/>
                <w:szCs w:val="28"/>
                <w:lang w:val="vi-VN"/>
              </w:rPr>
            </w:pPr>
          </w:p>
          <w:p w:rsidR="001925C6" w:rsidRPr="00CD0B6B" w:rsidRDefault="001925C6" w:rsidP="00F504C3">
            <w:pPr>
              <w:widowControl w:val="0"/>
              <w:spacing w:after="0" w:line="240" w:lineRule="auto"/>
              <w:jc w:val="center"/>
              <w:rPr>
                <w:b/>
                <w:bCs/>
                <w:sz w:val="27"/>
                <w:szCs w:val="27"/>
                <w:lang w:val="vi-VN"/>
              </w:rPr>
            </w:pPr>
          </w:p>
        </w:tc>
      </w:tr>
    </w:tbl>
    <w:p w:rsidR="00B50C59" w:rsidRPr="00CD0B6B" w:rsidRDefault="00B50C59" w:rsidP="00965117">
      <w:pPr>
        <w:widowControl w:val="0"/>
        <w:spacing w:after="0" w:line="240" w:lineRule="auto"/>
        <w:ind w:firstLine="567"/>
        <w:jc w:val="both"/>
        <w:rPr>
          <w:szCs w:val="32"/>
          <w:lang w:val="vi-VN"/>
        </w:rPr>
      </w:pPr>
    </w:p>
    <w:sectPr w:rsidR="00B50C59" w:rsidRPr="00CD0B6B" w:rsidSect="00965117">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15" w:rsidRDefault="00185815">
      <w:pPr>
        <w:spacing w:after="0" w:line="240" w:lineRule="auto"/>
      </w:pPr>
      <w:r>
        <w:separator/>
      </w:r>
    </w:p>
  </w:endnote>
  <w:endnote w:type="continuationSeparator" w:id="0">
    <w:p w:rsidR="00185815" w:rsidRDefault="0018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15" w:rsidRDefault="00185815">
      <w:pPr>
        <w:spacing w:after="0" w:line="240" w:lineRule="auto"/>
      </w:pPr>
      <w:r>
        <w:separator/>
      </w:r>
    </w:p>
  </w:footnote>
  <w:footnote w:type="continuationSeparator" w:id="0">
    <w:p w:rsidR="00185815" w:rsidRDefault="0018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1A6B"/>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9A0"/>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5815"/>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2A5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5C3B"/>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51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4FD"/>
    <w:rsid w:val="003142D0"/>
    <w:rsid w:val="00314BD5"/>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121"/>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40A"/>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49DF"/>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27DD1"/>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478"/>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2E5"/>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07E"/>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690"/>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67FF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6F0"/>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CE5"/>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4D37"/>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896"/>
    <w:rsid w:val="009F1AD6"/>
    <w:rsid w:val="009F1F00"/>
    <w:rsid w:val="009F20A7"/>
    <w:rsid w:val="009F2149"/>
    <w:rsid w:val="009F2277"/>
    <w:rsid w:val="009F242D"/>
    <w:rsid w:val="009F24D3"/>
    <w:rsid w:val="009F2AA7"/>
    <w:rsid w:val="009F2B53"/>
    <w:rsid w:val="009F2D6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60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397"/>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1D15"/>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DD0"/>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2A4"/>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D52"/>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979"/>
    <w:rsid w:val="00D73A42"/>
    <w:rsid w:val="00D73D05"/>
    <w:rsid w:val="00D73EC4"/>
    <w:rsid w:val="00D7405F"/>
    <w:rsid w:val="00D74A6C"/>
    <w:rsid w:val="00D750A7"/>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FC6"/>
    <w:rsid w:val="00E91D58"/>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874"/>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0C"/>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089"/>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180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77F"/>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70324-D303-4F3E-B080-DAF5B6E7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89"/>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style>
  <w:style w:type="character" w:customStyle="1" w:styleId="HeaderChar">
    <w:name w:val="Header Char"/>
    <w:link w:val="Header"/>
    <w:uiPriority w:val="99"/>
    <w:rsid w:val="00957E5B"/>
    <w:rPr>
      <w:sz w:val="28"/>
      <w:szCs w:val="22"/>
    </w:rPr>
  </w:style>
  <w:style w:type="paragraph" w:styleId="ListParagraph">
    <w:name w:val="List Paragraph"/>
    <w:aliases w:val="bullet 1,bullet,List Paragraph1,List Paragraph11"/>
    <w:basedOn w:val="Normal"/>
    <w:link w:val="ListParagraphChar"/>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 w:type="character" w:customStyle="1" w:styleId="ListParagraphChar">
    <w:name w:val="List Paragraph Char"/>
    <w:aliases w:val="bullet 1 Char,bullet Char,List Paragraph1 Char,List Paragraph11 Char"/>
    <w:link w:val="ListParagraph"/>
    <w:uiPriority w:val="34"/>
    <w:rsid w:val="001D5C3B"/>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54C4-5EE4-4F9D-8F60-0E1B989A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Le Thi Ngoc Tuyet</cp:lastModifiedBy>
  <cp:revision>2</cp:revision>
  <cp:lastPrinted>2018-11-12T03:24:00Z</cp:lastPrinted>
  <dcterms:created xsi:type="dcterms:W3CDTF">2022-10-12T07:52:00Z</dcterms:created>
  <dcterms:modified xsi:type="dcterms:W3CDTF">2022-10-12T07:52:00Z</dcterms:modified>
</cp:coreProperties>
</file>